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602" w:firstLineChars="200"/>
        <w:rPr>
          <w:rFonts w:hint="eastAsia"/>
        </w:rPr>
      </w:pPr>
      <w:permStart w:id="0" w:edGrp="everyone"/>
      <w:permEnd w:id="0"/>
      <w:r>
        <w:rPr>
          <w:rFonts w:hint="eastAsia"/>
        </w:rPr>
        <w:t>钢 材 购 销 合 同</w:t>
      </w:r>
    </w:p>
    <w:p>
      <w:pPr>
        <w:ind w:firstLine="6080" w:firstLineChars="3200"/>
        <w:jc w:val="both"/>
        <w:rPr>
          <w:rFonts w:hint="eastAsia"/>
          <w:sz w:val="19"/>
          <w:szCs w:val="19"/>
          <w:u w:val="single"/>
          <w:lang w:val="en-US" w:eastAsia="zh-CN"/>
        </w:rPr>
      </w:pPr>
      <w:r>
        <w:rPr>
          <w:rFonts w:hint="eastAsia"/>
          <w:sz w:val="19"/>
          <w:szCs w:val="19"/>
          <w:u w:val="none"/>
          <w:lang w:eastAsia="zh-CN"/>
        </w:rPr>
        <w:t>合同编号：</w:t>
      </w:r>
      <w:r>
        <w:rPr>
          <w:rFonts w:hint="eastAsia"/>
          <w:sz w:val="19"/>
          <w:szCs w:val="19"/>
          <w:u w:val="none"/>
          <w:lang w:val="en-US" w:eastAsia="zh-CN"/>
        </w:rPr>
        <w:t>XYJZ2020</w:t>
      </w:r>
      <w:r>
        <w:rPr>
          <w:rFonts w:hint="eastAsia"/>
          <w:sz w:val="19"/>
          <w:szCs w:val="19"/>
          <w:u w:val="single"/>
          <w:lang w:val="en-US" w:eastAsia="zh-CN"/>
        </w:rPr>
        <w:t xml:space="preserve">  </w:t>
      </w:r>
      <w:r>
        <w:rPr>
          <w:rFonts w:hint="eastAsia"/>
          <w:sz w:val="19"/>
          <w:szCs w:val="19"/>
          <w:u w:val="none"/>
          <w:lang w:val="en-US" w:eastAsia="zh-CN"/>
        </w:rPr>
        <w:t>-</w:t>
      </w:r>
      <w:r>
        <w:rPr>
          <w:rFonts w:hint="eastAsia"/>
          <w:sz w:val="19"/>
          <w:szCs w:val="19"/>
          <w:u w:val="single"/>
          <w:lang w:val="en-US" w:eastAsia="zh-CN"/>
        </w:rPr>
        <w:t xml:space="preserve">    </w:t>
      </w:r>
    </w:p>
    <w:p>
      <w:pPr>
        <w:keepNext w:val="0"/>
        <w:keepLines w:val="0"/>
        <w:pageBreakBefore w:val="0"/>
        <w:kinsoku/>
        <w:wordWrap/>
        <w:overflowPunct/>
        <w:topLinePunct w:val="0"/>
        <w:autoSpaceDE/>
        <w:autoSpaceDN/>
        <w:bidi w:val="0"/>
        <w:adjustRightInd/>
        <w:snapToGrid/>
        <w:spacing w:line="240" w:lineRule="auto"/>
        <w:ind w:firstLine="360" w:firstLineChars="200"/>
        <w:jc w:val="both"/>
        <w:textAlignment w:val="auto"/>
        <w:rPr>
          <w:sz w:val="18"/>
          <w:szCs w:val="18"/>
        </w:rPr>
      </w:pPr>
      <w:r>
        <w:rPr>
          <w:rFonts w:hint="eastAsia"/>
          <w:sz w:val="18"/>
          <w:szCs w:val="18"/>
        </w:rPr>
        <w:t>需方：</w:t>
      </w:r>
      <w:r>
        <w:rPr>
          <w:rFonts w:hint="eastAsia"/>
          <w:sz w:val="18"/>
          <w:szCs w:val="18"/>
          <w:u w:val="single"/>
        </w:rPr>
        <w:t xml:space="preserve"> </w:t>
      </w:r>
      <w:r>
        <w:rPr>
          <w:rFonts w:hint="eastAsia"/>
          <w:sz w:val="18"/>
          <w:szCs w:val="18"/>
          <w:u w:val="single"/>
          <w:lang w:eastAsia="zh-CN"/>
        </w:rPr>
        <w:t>呼和浩特市兴业建筑工程有限责任公司</w:t>
      </w:r>
      <w:r>
        <w:rPr>
          <w:rFonts w:hint="eastAsia"/>
          <w:sz w:val="18"/>
          <w:szCs w:val="18"/>
          <w:u w:val="single"/>
        </w:rPr>
        <w:t xml:space="preserve"> </w:t>
      </w:r>
      <w:r>
        <w:rPr>
          <w:rFonts w:hint="eastAsia"/>
          <w:sz w:val="18"/>
          <w:szCs w:val="18"/>
        </w:rPr>
        <w:t>（以下简称“甲方”）</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供方：</w:t>
      </w:r>
      <w:permStart w:id="1"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1"/>
      <w:r>
        <w:rPr>
          <w:rFonts w:hint="eastAsia"/>
          <w:sz w:val="18"/>
          <w:szCs w:val="18"/>
        </w:rPr>
        <w:t>（以下简称“乙方”）</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经甲乙双方共同协商，按照《中华人民共和国合同法》及相关法律法规，遵循平等、自愿、公开和诚实信用的原则，双方就</w:t>
      </w:r>
      <w:r>
        <w:rPr>
          <w:rFonts w:hint="eastAsia"/>
          <w:sz w:val="18"/>
          <w:szCs w:val="18"/>
          <w:u w:val="single"/>
        </w:rPr>
        <w:t xml:space="preserve"> </w:t>
      </w:r>
      <w:permStart w:id="2"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2"/>
      <w:r>
        <w:rPr>
          <w:rFonts w:hint="eastAsia"/>
          <w:sz w:val="18"/>
          <w:szCs w:val="18"/>
        </w:rPr>
        <w:t>工程采购下列材料事项签订如下协议：</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第一条</w:t>
      </w:r>
      <w:r>
        <w:rPr>
          <w:b/>
          <w:sz w:val="18"/>
          <w:szCs w:val="18"/>
        </w:rPr>
        <w:t xml:space="preserve">  </w:t>
      </w:r>
      <w:r>
        <w:rPr>
          <w:rFonts w:hint="eastAsia"/>
          <w:b/>
          <w:sz w:val="18"/>
          <w:szCs w:val="18"/>
        </w:rPr>
        <w:t>产品名称、规格、价格、生产厂家、数量、金额</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
          <w:sz w:val="18"/>
          <w:szCs w:val="18"/>
        </w:rPr>
      </w:pPr>
      <w:permStart w:id="3" w:edGrp="everyone"/>
      <w:r>
        <w:rPr>
          <w:rFonts w:hint="eastAsia"/>
          <w:sz w:val="18"/>
          <w:szCs w:val="18"/>
        </w:rPr>
        <w:t>货物</w:t>
      </w:r>
      <w:r>
        <w:rPr>
          <w:sz w:val="18"/>
          <w:szCs w:val="18"/>
        </w:rPr>
        <w:t>总</w:t>
      </w:r>
      <w:r>
        <w:rPr>
          <w:rFonts w:hint="eastAsia"/>
          <w:sz w:val="18"/>
          <w:szCs w:val="18"/>
        </w:rPr>
        <w:t>价</w:t>
      </w:r>
      <w:r>
        <w:rPr>
          <w:sz w:val="18"/>
          <w:szCs w:val="18"/>
        </w:rPr>
        <w:t>值为人民币</w:t>
      </w:r>
      <w:r>
        <w:rPr>
          <w:rFonts w:hint="eastAsia"/>
          <w:sz w:val="18"/>
          <w:szCs w:val="18"/>
        </w:rPr>
        <w:t>小写：</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sz w:val="18"/>
          <w:szCs w:val="18"/>
        </w:rPr>
        <w:t>元</w:t>
      </w:r>
      <w:r>
        <w:rPr>
          <w:rFonts w:hint="eastAsia"/>
          <w:sz w:val="18"/>
          <w:szCs w:val="18"/>
        </w:rPr>
        <w:t>，大写：</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rPr>
        <w:t>元。</w:t>
      </w:r>
    </w:p>
    <w:tbl>
      <w:tblPr>
        <w:tblStyle w:val="5"/>
        <w:tblW w:w="8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51"/>
        <w:gridCol w:w="1275"/>
        <w:gridCol w:w="1134"/>
        <w:gridCol w:w="1276"/>
        <w:gridCol w:w="708"/>
        <w:gridCol w:w="993"/>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钢材</w:t>
            </w:r>
            <w:r>
              <w:rPr>
                <w:rFonts w:hAnsi="宋体"/>
                <w:kern w:val="0"/>
                <w:sz w:val="18"/>
                <w:szCs w:val="18"/>
              </w:rPr>
              <w:t>名称</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规格及型号</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hAnsi="宋体" w:eastAsiaTheme="minorEastAsia"/>
                <w:kern w:val="0"/>
                <w:sz w:val="18"/>
                <w:szCs w:val="18"/>
                <w:lang w:val="en-US" w:eastAsia="zh-CN"/>
              </w:rPr>
            </w:pPr>
            <w:r>
              <w:rPr>
                <w:rFonts w:hint="eastAsia" w:hAnsi="宋体"/>
                <w:kern w:val="0"/>
                <w:sz w:val="18"/>
                <w:szCs w:val="18"/>
                <w:lang w:val="en-US" w:eastAsia="zh-CN"/>
              </w:rPr>
              <w:t>数量（吨）</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单价(元) （不含税）</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Ansi="宋体"/>
                <w:kern w:val="0"/>
                <w:sz w:val="18"/>
                <w:szCs w:val="18"/>
              </w:rPr>
            </w:pPr>
            <w:r>
              <w:rPr>
                <w:rFonts w:hAnsi="宋体"/>
                <w:kern w:val="0"/>
                <w:sz w:val="18"/>
                <w:szCs w:val="18"/>
              </w:rPr>
              <w:t>总价</w:t>
            </w:r>
            <w:r>
              <w:rPr>
                <w:rFonts w:hint="eastAsia" w:hAnsi="宋体"/>
                <w:kern w:val="0"/>
                <w:sz w:val="18"/>
                <w:szCs w:val="18"/>
              </w:rPr>
              <w:t>（元）（不含税）</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Ansi="宋体"/>
                <w:kern w:val="0"/>
                <w:sz w:val="18"/>
                <w:szCs w:val="18"/>
              </w:rPr>
            </w:pPr>
            <w:r>
              <w:rPr>
                <w:rFonts w:hint="eastAsia" w:hAnsi="宋体"/>
                <w:kern w:val="0"/>
                <w:sz w:val="18"/>
                <w:szCs w:val="18"/>
                <w:lang w:val="en-US" w:eastAsia="zh-CN"/>
              </w:rPr>
              <w:t>税</w:t>
            </w:r>
            <w:r>
              <w:rPr>
                <w:rFonts w:hint="eastAsia" w:hAnsi="宋体"/>
                <w:kern w:val="0"/>
                <w:sz w:val="18"/>
                <w:szCs w:val="18"/>
              </w:rPr>
              <w:t>率</w:t>
            </w:r>
            <w:r>
              <w:rPr>
                <w:rFonts w:ascii="Arial" w:hAnsi="Arial" w:cs="Arial"/>
                <w:kern w:val="0"/>
                <w:sz w:val="18"/>
                <w:szCs w:val="18"/>
              </w:rPr>
              <w:t>%</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Ansi="宋体"/>
                <w:kern w:val="0"/>
                <w:sz w:val="18"/>
                <w:szCs w:val="18"/>
              </w:rPr>
            </w:pPr>
            <w:r>
              <w:rPr>
                <w:rFonts w:hint="eastAsia" w:hAnsi="宋体"/>
                <w:kern w:val="0"/>
                <w:sz w:val="18"/>
                <w:szCs w:val="18"/>
              </w:rPr>
              <w:t>税额</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Ansi="宋体"/>
                <w:kern w:val="0"/>
                <w:sz w:val="18"/>
                <w:szCs w:val="18"/>
              </w:rPr>
            </w:pPr>
            <w:r>
              <w:rPr>
                <w:rFonts w:hint="eastAsia" w:hAnsi="宋体"/>
                <w:kern w:val="0"/>
                <w:sz w:val="18"/>
                <w:szCs w:val="18"/>
              </w:rPr>
              <w:t>（元）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7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r>
    </w:tbl>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b/>
          <w:sz w:val="18"/>
          <w:szCs w:val="18"/>
        </w:rPr>
      </w:pP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第二条  质量要求、技术标准、乙方对质量负责的条件</w:t>
      </w:r>
    </w:p>
    <w:permEnd w:id="3"/>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u w:val="single"/>
        </w:rPr>
      </w:pPr>
      <w:r>
        <w:rPr>
          <w:rFonts w:hint="eastAsia"/>
          <w:sz w:val="18"/>
          <w:szCs w:val="18"/>
          <w:u w:val="single"/>
        </w:rPr>
        <w:t>所购钢材质量要求必须符合《混凝土结构工程施工质量验收规范》中相关条款。所购钢材进场时，乙方应同时提供产品合格证和出厂检验报告原件，还应按国家现行相关标准的规定抽取试件作力学性能和重量偏差检验，检验结果必须符合有关标准的规定。所购买钢材相关的国家现行标准有：《钢筋混凝土用钢  第1部分：热轧光圆钢筋》GB1499.1、《钢筋混凝土用钢  第2部分：热轧带肋钢筋》GB1499.2、《钢筋混凝土用余热处理钢筋》GB13014、《钢筋混凝土用钢  第3部分：钢筋焊接网》GB1499.3。与冷加工钢筋性能及检验相关的国际标准有：《冷轧带肋钢筋》GB13788、《冷轧扭钢筋》JG 190及《冷轧带肋钢筋混凝土结构技术规程》JGJ 95、《冷轧扭钢筋混凝土构件技术规程》JGJ 115、《冷拔低碳钢丝应用技术规程》JGJ</w:t>
      </w:r>
      <w:r>
        <w:rPr>
          <w:sz w:val="18"/>
          <w:szCs w:val="18"/>
          <w:u w:val="single"/>
        </w:rPr>
        <w:t xml:space="preserve"> </w:t>
      </w:r>
      <w:r>
        <w:rPr>
          <w:rFonts w:hint="eastAsia"/>
          <w:sz w:val="18"/>
          <w:szCs w:val="18"/>
          <w:u w:val="single"/>
        </w:rPr>
        <w:t>19等。钢筋应平直、无损伤、表面不得有裂纹、油污、颗粒状或片状老锈。</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 xml:space="preserve">第三条 </w:t>
      </w:r>
      <w:r>
        <w:rPr>
          <w:b/>
          <w:sz w:val="18"/>
          <w:szCs w:val="18"/>
        </w:rPr>
        <w:t xml:space="preserve"> </w:t>
      </w:r>
      <w:r>
        <w:rPr>
          <w:rFonts w:hint="eastAsia"/>
          <w:b/>
          <w:sz w:val="18"/>
          <w:szCs w:val="18"/>
        </w:rPr>
        <w:t>交货方法、运输方式、运费承担、到货地点</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1、交货方法：</w:t>
      </w:r>
      <w:r>
        <w:rPr>
          <w:rFonts w:hint="eastAsia"/>
          <w:sz w:val="18"/>
          <w:szCs w:val="18"/>
          <w:u w:val="single"/>
        </w:rPr>
        <w:t>所有货物由供方送往供需双方共同约定的交货地点，价格含运输费用、装卸费用和搬运费用或所需运输费用由供方承担，并由供方负责卸车，建设工程物资在运输装卸过程中发生的损坏、人员伤亡等安全事故责任及损失全部由乙方自己承担</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2、运输方式：</w:t>
      </w:r>
      <w:permStart w:id="4"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sz w:val="18"/>
          <w:szCs w:val="18"/>
          <w:u w:val="single"/>
        </w:rPr>
        <w:t xml:space="preserve">           </w:t>
      </w:r>
      <w:permEnd w:id="4"/>
      <w:r>
        <w:rPr>
          <w:sz w:val="18"/>
          <w:szCs w:val="18"/>
          <w:u w:val="single"/>
        </w:rPr>
        <w:t xml:space="preserve"> </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3、到货地点：</w:t>
      </w:r>
      <w:permStart w:id="5" w:edGrp="everyone"/>
      <w:r>
        <w:rPr>
          <w:rFonts w:hint="eastAsia"/>
          <w:sz w:val="18"/>
          <w:szCs w:val="18"/>
          <w:u w:val="single"/>
        </w:rPr>
        <w:t xml:space="preserve">                        </w:t>
      </w:r>
      <w:r>
        <w:rPr>
          <w:sz w:val="18"/>
          <w:szCs w:val="18"/>
          <w:u w:val="single"/>
        </w:rPr>
        <w:t xml:space="preserve">           </w:t>
      </w:r>
      <w:permEnd w:id="5"/>
      <w:r>
        <w:rPr>
          <w:sz w:val="18"/>
          <w:szCs w:val="18"/>
          <w:u w:val="single"/>
        </w:rPr>
        <w:t xml:space="preserve"> </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rFonts w:hint="eastAsia"/>
          <w:b/>
          <w:sz w:val="18"/>
          <w:szCs w:val="18"/>
        </w:rPr>
      </w:pPr>
      <w:r>
        <w:rPr>
          <w:rFonts w:hint="eastAsia"/>
          <w:b/>
          <w:sz w:val="18"/>
          <w:szCs w:val="18"/>
        </w:rPr>
        <w:t>第四条  发票开具</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rFonts w:hint="eastAsia"/>
          <w:b/>
          <w:sz w:val="18"/>
          <w:szCs w:val="18"/>
        </w:rPr>
      </w:pP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w:t>
      </w:r>
      <w:r>
        <w:rPr>
          <w:rFonts w:hint="eastAsia"/>
          <w:color w:val="000000"/>
          <w:sz w:val="18"/>
          <w:szCs w:val="18"/>
        </w:rPr>
        <w:t>甲乙双方开票信息</w:t>
      </w:r>
    </w:p>
    <w:tbl>
      <w:tblPr>
        <w:tblStyle w:val="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756"/>
        <w:gridCol w:w="3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甲方</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6" w:edGrp="everyone" w:colFirst="2" w:colLast="2"/>
            <w:r>
              <w:rPr>
                <w:rFonts w:hint="eastAsia"/>
                <w:sz w:val="18"/>
                <w:szCs w:val="18"/>
              </w:rPr>
              <w:t>单位名称</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7" w:edGrp="everyone" w:colFirst="2" w:colLast="2"/>
            <w:r>
              <w:rPr>
                <w:rFonts w:hint="eastAsia"/>
                <w:sz w:val="18"/>
                <w:szCs w:val="18"/>
              </w:rPr>
              <w:t>开户银行</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8" w:edGrp="everyone" w:colFirst="2" w:colLast="2"/>
            <w:r>
              <w:rPr>
                <w:rFonts w:hint="eastAsia"/>
                <w:sz w:val="18"/>
                <w:szCs w:val="18"/>
              </w:rPr>
              <w:t>账号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9" w:edGrp="everyone" w:colFirst="2" w:colLast="2"/>
            <w:r>
              <w:rPr>
                <w:rFonts w:hint="eastAsia"/>
                <w:sz w:val="18"/>
                <w:szCs w:val="18"/>
              </w:rPr>
              <w:t>纳税人识别号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10" w:edGrp="everyone" w:colFirst="2" w:colLast="2"/>
            <w:r>
              <w:rPr>
                <w:rFonts w:hint="eastAsia"/>
                <w:sz w:val="18"/>
                <w:szCs w:val="18"/>
              </w:rPr>
              <w:t>公司住所</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11" w:edGrp="everyone" w:colFirst="2" w:colLast="2"/>
            <w:r>
              <w:rPr>
                <w:rFonts w:hint="eastAsia"/>
                <w:sz w:val="18"/>
                <w:szCs w:val="18"/>
              </w:rPr>
              <w:t>联系电话</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11"/>
    </w:tbl>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2、本合同乙方纳税类型：</w:t>
      </w:r>
      <w:permStart w:id="12" w:edGrp="everyone"/>
      <w:r>
        <w:rPr>
          <w:rFonts w:hint="eastAsia"/>
          <w:sz w:val="18"/>
          <w:szCs w:val="18"/>
          <w:u w:val="single"/>
        </w:rPr>
        <w:t xml:space="preserve"> </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permEnd w:id="12"/>
      <w:r>
        <w:rPr>
          <w:rFonts w:hint="eastAsia"/>
          <w:sz w:val="18"/>
          <w:szCs w:val="18"/>
        </w:rPr>
        <w:t>纳税人。</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rFonts w:cs="楷体"/>
          <w:sz w:val="18"/>
          <w:szCs w:val="18"/>
        </w:rPr>
      </w:pPr>
      <w:r>
        <w:rPr>
          <w:rFonts w:hint="eastAsia" w:cs="楷体"/>
          <w:sz w:val="18"/>
          <w:szCs w:val="18"/>
        </w:rPr>
        <w:t>3、</w:t>
      </w:r>
      <w:r>
        <w:rPr>
          <w:rFonts w:hint="eastAsia"/>
          <w:sz w:val="18"/>
          <w:szCs w:val="18"/>
        </w:rPr>
        <w:t>增值税发票开具时间和类型的要求</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（1）增值税发票开具时间</w:t>
      </w:r>
      <w:bookmarkStart w:id="0" w:name="_GoBack"/>
      <w:bookmarkEnd w:id="0"/>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sz w:val="18"/>
          <w:szCs w:val="18"/>
        </w:rPr>
        <w:t>乙方在甲方验货确认后的</w:t>
      </w:r>
      <w:r>
        <w:rPr>
          <w:rFonts w:hint="eastAsia"/>
          <w:bCs/>
          <w:sz w:val="18"/>
          <w:szCs w:val="18"/>
        </w:rPr>
        <w:t>一个月内，依据</w:t>
      </w:r>
      <w:r>
        <w:rPr>
          <w:rFonts w:hint="eastAsia"/>
          <w:sz w:val="18"/>
          <w:szCs w:val="18"/>
        </w:rPr>
        <w:t>甲方指定签收人和乙方指定交接人共同签字的验收单</w:t>
      </w:r>
      <w:r>
        <w:rPr>
          <w:rFonts w:hint="eastAsia"/>
          <w:bCs/>
          <w:sz w:val="18"/>
          <w:szCs w:val="18"/>
        </w:rPr>
        <w:t>向甲方开具增值税发票。</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（2）增值税发票开具的类型</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增值税发票开具采用以下开票形式中</w:t>
      </w:r>
      <w:r>
        <w:rPr>
          <w:rFonts w:hint="eastAsia"/>
          <w:sz w:val="18"/>
          <w:szCs w:val="18"/>
        </w:rPr>
        <w:t>（第</w:t>
      </w:r>
      <w:r>
        <w:rPr>
          <w:rFonts w:hint="eastAsia"/>
          <w:sz w:val="18"/>
          <w:szCs w:val="18"/>
          <w:u w:val="single"/>
        </w:rPr>
        <w:t xml:space="preserve"> </w:t>
      </w:r>
      <w:permStart w:id="13" w:edGrp="everyone"/>
      <w:r>
        <w:rPr>
          <w:rFonts w:hint="eastAsia"/>
          <w:sz w:val="18"/>
          <w:szCs w:val="18"/>
          <w:u w:val="single"/>
        </w:rPr>
        <w:t xml:space="preserve">      </w:t>
      </w:r>
      <w:permEnd w:id="13"/>
      <w:r>
        <w:rPr>
          <w:rFonts w:hint="eastAsia"/>
          <w:sz w:val="18"/>
          <w:szCs w:val="18"/>
        </w:rPr>
        <w:t>种开票方式）。</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①第一种开票形式：乙方向甲方开具税率为</w:t>
      </w:r>
      <w:permStart w:id="14" w:edGrp="everyone"/>
      <w:r>
        <w:rPr>
          <w:sz w:val="18"/>
          <w:szCs w:val="18"/>
          <w:u w:val="single"/>
        </w:rPr>
        <w:t xml:space="preserve">     </w:t>
      </w:r>
      <w:permEnd w:id="14"/>
      <w:r>
        <w:rPr>
          <w:rFonts w:ascii="Arial Black" w:hAnsi="Arial Black"/>
          <w:sz w:val="18"/>
          <w:szCs w:val="18"/>
        </w:rPr>
        <w:t>%</w:t>
      </w:r>
      <w:r>
        <w:rPr>
          <w:rFonts w:hint="eastAsia"/>
          <w:sz w:val="18"/>
          <w:szCs w:val="18"/>
        </w:rPr>
        <w:t>的增值税专用发票。</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②第二种开票形式：乙方向甲方开具税率为</w:t>
      </w:r>
      <w:permStart w:id="15" w:edGrp="everyone"/>
      <w:r>
        <w:rPr>
          <w:sz w:val="18"/>
          <w:szCs w:val="18"/>
          <w:u w:val="single"/>
        </w:rPr>
        <w:t xml:space="preserve">     </w:t>
      </w:r>
      <w:permEnd w:id="15"/>
      <w:r>
        <w:rPr>
          <w:rFonts w:ascii="Arial Black" w:hAnsi="Arial Black"/>
          <w:sz w:val="18"/>
          <w:szCs w:val="18"/>
        </w:rPr>
        <w:t>%</w:t>
      </w:r>
      <w:r>
        <w:rPr>
          <w:rFonts w:hint="eastAsia"/>
          <w:bCs/>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4、汇总开增值税专用发票的要求</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供应商汇总开具增值专用发票，在发票“摘要”栏填写“材料一批”字样的增值税专用发票的情况下：必须向甲方提供其防伪税控系统开具的《销售货物或者提供应税劳务清单》,并加盖财务专用章或者发票专用章。</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5、增值税专用发票丢失的补救措施</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如果甲方今后发生丢失增值税专用发票发票联和抵扣联的情况,则乙方必须向甲方提供该增值税专用发票记账联复印件及其主管税务机关出具的《丢失增值税专用发票已报税证明单》或《丢失货物运输业增值税专用发票已报税证明单》。</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bCs/>
          <w:sz w:val="18"/>
          <w:szCs w:val="18"/>
        </w:rPr>
      </w:pPr>
      <w:r>
        <w:rPr>
          <w:rFonts w:hint="eastAsia"/>
          <w:bCs/>
          <w:sz w:val="18"/>
          <w:szCs w:val="18"/>
        </w:rPr>
        <w:t>6、乙方必须向甲方提供正规合法的增值税专用发票，如果乙方提供的增值税发票是假的或虚开的，被相关政府部门查出，</w:t>
      </w:r>
      <w:r>
        <w:rPr>
          <w:rFonts w:hint="eastAsia"/>
          <w:sz w:val="18"/>
          <w:szCs w:val="18"/>
        </w:rPr>
        <w:t>除必须重新给甲方提供正规、真实发票之外，</w:t>
      </w:r>
      <w:r>
        <w:rPr>
          <w:rFonts w:hint="eastAsia"/>
          <w:bCs/>
          <w:sz w:val="18"/>
          <w:szCs w:val="18"/>
        </w:rPr>
        <w:t>一切赔偿损失责任由乙方承担。</w:t>
      </w:r>
      <w:r>
        <w:rPr>
          <w:rFonts w:hint="eastAsia" w:cs="楷体"/>
          <w:sz w:val="18"/>
          <w:szCs w:val="18"/>
        </w:rPr>
        <w:t>而且乙方应向甲方承担赔偿责任以及损失金额10%的违约金。</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第五条  合理损耗及计量方法</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1、盘圆实行复磅交货，带肋钢筋实行理计或复磅交货，数量以现场材料员签单验收为准。</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2、钢材质量按理计时，实际重量与理论重量偏差为：±3‰。</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第六条  供应期限：本合同采用</w:t>
      </w:r>
      <w:permStart w:id="16" w:edGrp="everyone"/>
      <w:r>
        <w:rPr>
          <w:rFonts w:hint="eastAsia"/>
          <w:b/>
          <w:sz w:val="18"/>
          <w:szCs w:val="18"/>
          <w:u w:val="single"/>
        </w:rPr>
        <w:t xml:space="preserve">     </w:t>
      </w:r>
      <w:r>
        <w:rPr>
          <w:rFonts w:hint="eastAsia"/>
          <w:b/>
          <w:sz w:val="18"/>
          <w:szCs w:val="18"/>
          <w:u w:val="single"/>
          <w:lang w:val="en-US" w:eastAsia="zh-CN"/>
        </w:rPr>
        <w:t xml:space="preserve"> </w:t>
      </w:r>
      <w:r>
        <w:rPr>
          <w:rFonts w:hint="eastAsia"/>
          <w:b/>
          <w:sz w:val="18"/>
          <w:szCs w:val="18"/>
          <w:u w:val="single"/>
        </w:rPr>
        <w:t xml:space="preserve">  </w:t>
      </w:r>
      <w:permEnd w:id="16"/>
      <w:r>
        <w:rPr>
          <w:rFonts w:hint="eastAsia"/>
          <w:b/>
          <w:sz w:val="18"/>
          <w:szCs w:val="18"/>
        </w:rPr>
        <w:t>条执行。</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1、签订合同后</w:t>
      </w:r>
      <w:permStart w:id="17"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17"/>
      <w:r>
        <w:rPr>
          <w:rFonts w:hint="eastAsia"/>
          <w:sz w:val="18"/>
          <w:szCs w:val="18"/>
        </w:rPr>
        <w:t>日内乙方必须将货全部供给甲方；</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2、乙方在收到甲方批次计划后按计划进场时间将货供给甲方。</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第七条  货款的结算、付款时间</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1、结算数量：以甲方指定签收人和乙方指定交接人共同签字的签收单为准；已进行阶段性结算，制作了月[或季]供货核算单的，以该月[或季]供货核算单为准。</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其它任何凭证都不能成为确认供货数量的依据。</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任何在生产、加工、运输、装卸过程中发生的损耗数量及货物自然损耗数量均不计入结算数量。</w:t>
      </w:r>
    </w:p>
    <w:p>
      <w:pPr>
        <w:keepNext w:val="0"/>
        <w:keepLines w:val="0"/>
        <w:pageBreakBefore w:val="0"/>
        <w:numPr>
          <w:ilvl w:val="0"/>
          <w:numId w:val="1"/>
        </w:numPr>
        <w:kinsoku/>
        <w:wordWrap/>
        <w:overflowPunct/>
        <w:topLinePunct w:val="0"/>
        <w:autoSpaceDE/>
        <w:autoSpaceDN/>
        <w:bidi w:val="0"/>
        <w:adjustRightInd/>
        <w:snapToGrid/>
        <w:spacing w:line="240" w:lineRule="auto"/>
        <w:ind w:firstLine="360" w:firstLineChars="200"/>
        <w:textAlignment w:val="auto"/>
        <w:rPr>
          <w:rFonts w:hint="eastAsia"/>
          <w:sz w:val="18"/>
          <w:szCs w:val="18"/>
        </w:rPr>
      </w:pPr>
      <w:r>
        <w:rPr>
          <w:rFonts w:hint="eastAsia"/>
          <w:sz w:val="18"/>
          <w:szCs w:val="18"/>
        </w:rPr>
        <w:t>结算时间：</w:t>
      </w:r>
      <w:permStart w:id="18" w:edGrp="everyone"/>
      <w:r>
        <w:rPr>
          <w:rFonts w:hint="eastAsia"/>
          <w:sz w:val="18"/>
          <w:szCs w:val="18"/>
          <w:u w:val="single"/>
        </w:rPr>
        <w:t xml:space="preserve">                                                     </w:t>
      </w:r>
      <w:permEnd w:id="18"/>
      <w:r>
        <w:rPr>
          <w:rFonts w:hint="eastAsia"/>
          <w:sz w:val="18"/>
          <w:szCs w:val="18"/>
        </w:rPr>
        <w:t>。</w:t>
      </w:r>
    </w:p>
    <w:p>
      <w:pPr>
        <w:keepNext w:val="0"/>
        <w:keepLines w:val="0"/>
        <w:pageBreakBefore w:val="0"/>
        <w:numPr>
          <w:ilvl w:val="0"/>
          <w:numId w:val="1"/>
        </w:numPr>
        <w:kinsoku/>
        <w:wordWrap/>
        <w:overflowPunct/>
        <w:topLinePunct w:val="0"/>
        <w:autoSpaceDE/>
        <w:autoSpaceDN/>
        <w:bidi w:val="0"/>
        <w:adjustRightInd/>
        <w:snapToGrid/>
        <w:spacing w:line="240" w:lineRule="auto"/>
        <w:ind w:firstLine="360" w:firstLineChars="200"/>
        <w:textAlignment w:val="auto"/>
        <w:rPr>
          <w:rFonts w:cs="楷体"/>
          <w:sz w:val="18"/>
          <w:szCs w:val="18"/>
        </w:rPr>
      </w:pPr>
      <w:r>
        <w:rPr>
          <w:rFonts w:hint="eastAsia" w:cs="楷体"/>
          <w:sz w:val="18"/>
          <w:szCs w:val="18"/>
        </w:rPr>
        <w:t>3、付款方式和付款时间：</w:t>
      </w:r>
      <w:permStart w:id="19" w:edGrp="everyone"/>
      <w:r>
        <w:rPr>
          <w:rFonts w:hint="eastAsia" w:cs="楷体"/>
          <w:sz w:val="18"/>
          <w:szCs w:val="18"/>
          <w:u w:val="single"/>
        </w:rPr>
        <w:t xml:space="preserve"> </w:t>
      </w:r>
      <w:r>
        <w:rPr>
          <w:rFonts w:cs="楷体"/>
          <w:sz w:val="18"/>
          <w:szCs w:val="18"/>
          <w:u w:val="single"/>
        </w:rPr>
        <w:t xml:space="preserve">                                                </w:t>
      </w:r>
      <w:permEnd w:id="19"/>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rFonts w:cs="楷体"/>
          <w:b/>
          <w:color w:val="FF0000"/>
          <w:sz w:val="18"/>
          <w:szCs w:val="18"/>
        </w:rPr>
      </w:pPr>
      <w:r>
        <w:rPr>
          <w:rFonts w:ascii="宋体" w:hAnsi="宋体"/>
          <w:b/>
          <w:color w:val="FF0000"/>
          <w:sz w:val="18"/>
          <w:szCs w:val="18"/>
          <w:shd w:val="clear" w:color="auto" w:fill="FFFFFF"/>
        </w:rPr>
        <w:t>[</w:t>
      </w:r>
      <w:r>
        <w:rPr>
          <w:rFonts w:hint="eastAsia" w:ascii="宋体" w:hAnsi="宋体"/>
          <w:b/>
          <w:color w:val="FF0000"/>
          <w:sz w:val="18"/>
          <w:szCs w:val="18"/>
          <w:shd w:val="clear" w:color="auto" w:fill="FFFFFF"/>
        </w:rPr>
        <w:t>提示：</w:t>
      </w:r>
      <w:r>
        <w:rPr>
          <w:rFonts w:ascii="宋体" w:hAnsi="宋体"/>
          <w:b/>
          <w:color w:val="FF0000"/>
          <w:sz w:val="18"/>
          <w:szCs w:val="18"/>
          <w:shd w:val="clear" w:color="auto" w:fill="FFFFFF"/>
        </w:rPr>
        <w:t>主要约定付款条件(先付款后发货、或先发货验收合格后再付款)、发票开具(先开票后付款，或先付款后开票)等</w:t>
      </w:r>
      <w:r>
        <w:rPr>
          <w:rFonts w:hint="eastAsia" w:ascii="宋体" w:hAnsi="宋体"/>
          <w:b/>
          <w:color w:val="FF0000"/>
          <w:sz w:val="18"/>
          <w:szCs w:val="18"/>
          <w:shd w:val="clear" w:color="auto" w:fill="FFFFFF"/>
        </w:rPr>
        <w:t>]</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rFonts w:cs="楷体"/>
          <w:sz w:val="18"/>
          <w:szCs w:val="18"/>
        </w:rPr>
      </w:pPr>
      <w:r>
        <w:rPr>
          <w:rFonts w:hint="eastAsia" w:cs="楷体"/>
          <w:sz w:val="18"/>
          <w:szCs w:val="18"/>
        </w:rPr>
        <w:t>乙方货款采用银行承兑汇票形式或银行转账支付形式进行支付。</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rFonts w:cs="楷体"/>
          <w:sz w:val="18"/>
          <w:szCs w:val="18"/>
        </w:rPr>
      </w:pPr>
      <w:r>
        <w:rPr>
          <w:rFonts w:hint="eastAsia" w:cs="楷体"/>
          <w:sz w:val="18"/>
          <w:szCs w:val="18"/>
        </w:rPr>
        <w:t>款项支付至合同约定的收款账户，收款账户名称必须与合同乙方单位名称一致。</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第八条  双方的权利和义务</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color w:val="0000FF"/>
          <w:spacing w:val="-4"/>
          <w:sz w:val="18"/>
          <w:szCs w:val="18"/>
        </w:rPr>
      </w:pPr>
      <w:r>
        <w:rPr>
          <w:rFonts w:hint="eastAsia"/>
          <w:b/>
          <w:sz w:val="18"/>
          <w:szCs w:val="18"/>
        </w:rPr>
        <w:t>（一）甲方的权利和义务</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1、完善施工现场各种安全防护设施，保障进入施工现场的道路畅通。</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2、指挥乙方运送车辆进场，提供材料堆放场地并及时验收。</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3、甲方对存在质量问题的材料应在接收材料后30日内向乙方提出书面异议。</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4、甲方须在进货前15日内将材料批次计划提供给乙方，若须变更材料的品种、规格、数量时应在发出批次计划的3日内通知乙方，以便乙方备货。</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5、甲方项目部工程技术专用章仅限所涉及工程技术资料专用，仅对本合同相关资料事项及其他工程技术资料有效，除此之外的其它事宜处理均属越权，甲方不予认可，对甲方不产生法律效力。</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sz w:val="18"/>
          <w:szCs w:val="18"/>
        </w:rPr>
        <w:t>6</w:t>
      </w:r>
      <w:r>
        <w:rPr>
          <w:rFonts w:hint="eastAsia"/>
          <w:sz w:val="18"/>
          <w:szCs w:val="18"/>
        </w:rPr>
        <w:t>、其他：</w:t>
      </w:r>
      <w:permStart w:id="20"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20"/>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（二）乙方的权利和义务</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1、乙方必须在甲方规定的时间内把货供到现场，若因乙方原因未按规定时间交货，每推迟一天按合同总价的1%承担违约责任。</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2、乙方在接到甲方提出的书面异议后，应在2天内负责处理，否则，即视为乙方默认甲方提出的异议和处理意见。所发生的一切费用和损失由乙方承担。</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rFonts w:hAnsi="宋体"/>
          <w:sz w:val="18"/>
          <w:szCs w:val="18"/>
        </w:rPr>
      </w:pPr>
      <w:r>
        <w:rPr>
          <w:rFonts w:hAnsi="宋体"/>
          <w:sz w:val="18"/>
          <w:szCs w:val="18"/>
        </w:rPr>
        <w:t>3</w:t>
      </w:r>
      <w:r>
        <w:rPr>
          <w:rFonts w:hint="eastAsia" w:hAnsi="宋体"/>
          <w:sz w:val="18"/>
          <w:szCs w:val="18"/>
        </w:rPr>
        <w:t>、</w:t>
      </w:r>
      <w:r>
        <w:rPr>
          <w:rFonts w:hAnsi="宋体"/>
          <w:sz w:val="18"/>
          <w:szCs w:val="18"/>
        </w:rPr>
        <w:t>乙方保证对所交付的货物</w:t>
      </w:r>
      <w:r>
        <w:rPr>
          <w:rFonts w:hint="eastAsia" w:hAnsi="宋体"/>
          <w:sz w:val="18"/>
          <w:szCs w:val="18"/>
        </w:rPr>
        <w:t>拥有</w:t>
      </w:r>
      <w:r>
        <w:rPr>
          <w:rFonts w:hAnsi="宋体"/>
          <w:sz w:val="18"/>
          <w:szCs w:val="18"/>
        </w:rPr>
        <w:t>合法、有效、完整的所有权</w:t>
      </w:r>
      <w:r>
        <w:rPr>
          <w:rFonts w:hint="eastAsia" w:hAnsi="宋体"/>
          <w:sz w:val="18"/>
          <w:szCs w:val="18"/>
        </w:rPr>
        <w:t>，</w:t>
      </w:r>
      <w:r>
        <w:rPr>
          <w:rFonts w:hAnsi="宋体"/>
          <w:sz w:val="18"/>
          <w:szCs w:val="18"/>
        </w:rPr>
        <w:t>在该等货物上并无任何保证、抵押、</w:t>
      </w:r>
      <w:r>
        <w:rPr>
          <w:rFonts w:hint="eastAsia" w:hAnsi="宋体"/>
          <w:sz w:val="18"/>
          <w:szCs w:val="18"/>
        </w:rPr>
        <w:t>留置</w:t>
      </w:r>
      <w:r>
        <w:rPr>
          <w:rFonts w:hAnsi="宋体"/>
          <w:sz w:val="18"/>
          <w:szCs w:val="18"/>
        </w:rPr>
        <w:t>、质押、租赁</w:t>
      </w:r>
      <w:r>
        <w:rPr>
          <w:rFonts w:hint="eastAsia" w:hAnsi="宋体"/>
          <w:sz w:val="18"/>
          <w:szCs w:val="18"/>
        </w:rPr>
        <w:t>和</w:t>
      </w:r>
      <w:r>
        <w:rPr>
          <w:rFonts w:hAnsi="宋体"/>
          <w:sz w:val="18"/>
          <w:szCs w:val="18"/>
        </w:rPr>
        <w:t>任何其他第三者权益</w:t>
      </w:r>
      <w:r>
        <w:rPr>
          <w:rFonts w:hint="eastAsia" w:hAnsi="宋体"/>
          <w:sz w:val="18"/>
          <w:szCs w:val="18"/>
        </w:rPr>
        <w:t>。</w:t>
      </w:r>
      <w:r>
        <w:rPr>
          <w:rFonts w:hAnsi="宋体"/>
          <w:sz w:val="18"/>
          <w:szCs w:val="18"/>
        </w:rPr>
        <w:t>乙方保证</w:t>
      </w:r>
      <w:r>
        <w:rPr>
          <w:rFonts w:hint="eastAsia" w:hAnsi="宋体"/>
          <w:sz w:val="18"/>
          <w:szCs w:val="18"/>
        </w:rPr>
        <w:t>甲方或</w:t>
      </w:r>
      <w:r>
        <w:rPr>
          <w:rFonts w:hAnsi="宋体"/>
          <w:sz w:val="18"/>
          <w:szCs w:val="18"/>
        </w:rPr>
        <w:t>其最终用户对本合同项下货物的使用不会侵犯任何第三方的知识产权、所有权</w:t>
      </w:r>
      <w:r>
        <w:rPr>
          <w:rFonts w:hint="eastAsia" w:hAnsi="宋体"/>
          <w:sz w:val="18"/>
          <w:szCs w:val="18"/>
        </w:rPr>
        <w:t>以及</w:t>
      </w:r>
      <w:r>
        <w:rPr>
          <w:rFonts w:hAnsi="宋体"/>
          <w:sz w:val="18"/>
          <w:szCs w:val="18"/>
        </w:rPr>
        <w:t>任何其他权利</w:t>
      </w:r>
      <w:r>
        <w:rPr>
          <w:rFonts w:hint="eastAsia" w:hAnsi="宋体"/>
          <w:sz w:val="18"/>
          <w:szCs w:val="18"/>
        </w:rPr>
        <w:t>。</w:t>
      </w:r>
      <w:r>
        <w:rPr>
          <w:rFonts w:hAnsi="宋体"/>
          <w:sz w:val="18"/>
          <w:szCs w:val="18"/>
        </w:rPr>
        <w:t>甲方</w:t>
      </w:r>
      <w:r>
        <w:rPr>
          <w:rFonts w:hint="eastAsia" w:hAnsi="宋体"/>
          <w:sz w:val="18"/>
          <w:szCs w:val="18"/>
        </w:rPr>
        <w:t>或</w:t>
      </w:r>
      <w:r>
        <w:rPr>
          <w:rFonts w:hAnsi="宋体"/>
          <w:sz w:val="18"/>
          <w:szCs w:val="18"/>
        </w:rPr>
        <w:t>其最终用户在使用本合同项下货物</w:t>
      </w:r>
      <w:r>
        <w:rPr>
          <w:rFonts w:hint="eastAsia" w:hAnsi="宋体"/>
          <w:sz w:val="18"/>
          <w:szCs w:val="18"/>
        </w:rPr>
        <w:t>的</w:t>
      </w:r>
      <w:r>
        <w:rPr>
          <w:rFonts w:hAnsi="宋体"/>
          <w:sz w:val="18"/>
          <w:szCs w:val="18"/>
        </w:rPr>
        <w:t>过程中如果发生因此而引起的与第三方的任何</w:t>
      </w:r>
      <w:r>
        <w:rPr>
          <w:rFonts w:hint="eastAsia" w:hAnsi="宋体"/>
          <w:sz w:val="18"/>
          <w:szCs w:val="18"/>
        </w:rPr>
        <w:t>纠纷</w:t>
      </w:r>
      <w:r>
        <w:rPr>
          <w:rFonts w:hAnsi="宋体"/>
          <w:sz w:val="18"/>
          <w:szCs w:val="18"/>
        </w:rPr>
        <w:t>，甲方仅负责</w:t>
      </w:r>
      <w:r>
        <w:rPr>
          <w:rFonts w:hint="eastAsia" w:hAnsi="宋体"/>
          <w:sz w:val="18"/>
          <w:szCs w:val="18"/>
        </w:rPr>
        <w:t>通知</w:t>
      </w:r>
      <w:r>
        <w:rPr>
          <w:rFonts w:hAnsi="宋体"/>
          <w:sz w:val="18"/>
          <w:szCs w:val="18"/>
        </w:rPr>
        <w:t>乙方义务，乙方须自行</w:t>
      </w:r>
      <w:r>
        <w:rPr>
          <w:rFonts w:hint="eastAsia" w:hAnsi="宋体"/>
          <w:sz w:val="18"/>
          <w:szCs w:val="18"/>
        </w:rPr>
        <w:t>负责</w:t>
      </w:r>
      <w:r>
        <w:rPr>
          <w:rFonts w:hAnsi="宋体"/>
          <w:sz w:val="18"/>
          <w:szCs w:val="18"/>
        </w:rPr>
        <w:t>解决，甲方不承担任何法律责任</w:t>
      </w:r>
      <w:r>
        <w:rPr>
          <w:rFonts w:hint="eastAsia" w:hAnsi="宋体"/>
          <w:sz w:val="18"/>
          <w:szCs w:val="18"/>
        </w:rPr>
        <w:t>。</w:t>
      </w:r>
      <w:r>
        <w:rPr>
          <w:rFonts w:hAnsi="宋体"/>
          <w:sz w:val="18"/>
          <w:szCs w:val="18"/>
        </w:rPr>
        <w:t>如果</w:t>
      </w:r>
      <w:r>
        <w:rPr>
          <w:rFonts w:hint="eastAsia" w:hAnsi="宋体"/>
          <w:sz w:val="18"/>
          <w:szCs w:val="18"/>
        </w:rPr>
        <w:t>甲方</w:t>
      </w:r>
      <w:r>
        <w:rPr>
          <w:rFonts w:hAnsi="宋体"/>
          <w:sz w:val="18"/>
          <w:szCs w:val="18"/>
        </w:rPr>
        <w:t>已经存在此原因对任何第三方需要承担的法律责任，乙方应无条件向甲方</w:t>
      </w:r>
      <w:r>
        <w:rPr>
          <w:rFonts w:hint="eastAsia" w:hAnsi="宋体"/>
          <w:sz w:val="18"/>
          <w:szCs w:val="18"/>
        </w:rPr>
        <w:t>负</w:t>
      </w:r>
      <w:r>
        <w:rPr>
          <w:rFonts w:hAnsi="宋体"/>
          <w:sz w:val="18"/>
          <w:szCs w:val="18"/>
        </w:rPr>
        <w:t>赔偿责任。</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乙方应具备安全生产或供应能力，合同签订后要向甲方提供统一社会信用代码证（营业执照、</w:t>
      </w:r>
      <w:r>
        <w:rPr>
          <w:rFonts w:hint="eastAsia"/>
          <w:sz w:val="18"/>
          <w:szCs w:val="18"/>
          <w:lang w:val="en-US" w:eastAsia="zh-CN"/>
        </w:rPr>
        <w:t>法人身份证复印件、一般纳税人登记证</w:t>
      </w:r>
      <w:r>
        <w:rPr>
          <w:rFonts w:hint="eastAsia"/>
          <w:sz w:val="18"/>
          <w:szCs w:val="18"/>
        </w:rPr>
        <w:t>）、产品生产许可证等有效证件复印件。</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4、乙方负责运输到甲方指定地点，交货前标的物及运输过程中车辆及所有驾乘人员以及第三方的一切安全风险由乙方承担。</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5、材料进场后，因乙方供应材料存在隐蔽质量瑕疵引发的安全生产事故，由乙方承担责任及损失。乙方不得以甲方已签收为由而拒绝承担相应的责任。</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6、乙方运送车辆进、出施工现场要服从现场管理人员指挥，车辆驾乘人员应正确佩戴安全帽，注意行驶安全，配合现场管理人员进行材料堆码，保持现场整洁。若因乙方责任发生安全事故，由乙方承担责任及损失。</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7、若所运输物品需要覆盖或密封时，乙方应按国家规定做好车辆及物品的防护措施，进出工地车辆不得污染路面，否则造成污染或其他责任由乙方全部承担。</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8、乙方应保证车辆及驾驶人员状况良好，且车辆进入施工现场必须减速慢行，速度不得高于15公里/小时，特种车辆（如：吊车等）速度不得高于5公里/小时，同时必须严格执行甲方项目部相关管理规定。因乙方车辆自身原因或因超载、超速及不按规定行驶所导致的一切安全事故概由乙方承担全部事故责任。</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9、凡在施工现场以外所发生的一切事故，由乙方承担全部责任。</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10、其他：</w:t>
      </w:r>
      <w:permStart w:id="21"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21"/>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第九条  解决合同纠纷的方式</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sz w:val="18"/>
          <w:szCs w:val="18"/>
        </w:rPr>
      </w:pPr>
      <w:r>
        <w:rPr>
          <w:rFonts w:hint="eastAsia"/>
          <w:sz w:val="18"/>
          <w:szCs w:val="18"/>
        </w:rPr>
        <w:t>本合同在履行过程中产生争议的，甲、乙双方应协商解决，如确不能协商，任何一方均可向甲方所在地人民法院提起诉讼，通过诉讼方式解决。</w:t>
      </w:r>
    </w:p>
    <w:p>
      <w:pPr>
        <w:keepNext w:val="0"/>
        <w:keepLines w:val="0"/>
        <w:pageBreakBefore w:val="0"/>
        <w:kinsoku/>
        <w:wordWrap/>
        <w:overflowPunct/>
        <w:topLinePunct w:val="0"/>
        <w:autoSpaceDE/>
        <w:autoSpaceDN/>
        <w:bidi w:val="0"/>
        <w:adjustRightInd/>
        <w:snapToGrid/>
        <w:spacing w:line="240" w:lineRule="auto"/>
        <w:ind w:firstLine="361" w:firstLineChars="200"/>
        <w:textAlignment w:val="auto"/>
        <w:rPr>
          <w:b/>
          <w:sz w:val="18"/>
          <w:szCs w:val="18"/>
        </w:rPr>
      </w:pPr>
      <w:r>
        <w:rPr>
          <w:rFonts w:hint="eastAsia"/>
          <w:b/>
          <w:sz w:val="18"/>
          <w:szCs w:val="18"/>
        </w:rPr>
        <w:t>第十条  合同生效</w:t>
      </w:r>
    </w:p>
    <w:p>
      <w:pPr>
        <w:keepNext w:val="0"/>
        <w:keepLines w:val="0"/>
        <w:pageBreakBefore w:val="0"/>
        <w:kinsoku/>
        <w:wordWrap/>
        <w:overflowPunct/>
        <w:topLinePunct w:val="0"/>
        <w:autoSpaceDE/>
        <w:autoSpaceDN/>
        <w:bidi w:val="0"/>
        <w:adjustRightInd/>
        <w:snapToGrid/>
        <w:spacing w:line="240" w:lineRule="auto"/>
        <w:ind w:firstLine="360" w:firstLineChars="200"/>
        <w:textAlignment w:val="auto"/>
        <w:rPr>
          <w:rFonts w:hint="eastAsia"/>
          <w:sz w:val="18"/>
          <w:szCs w:val="18"/>
        </w:rPr>
      </w:pPr>
      <w:r>
        <w:rPr>
          <w:rFonts w:hint="eastAsia"/>
          <w:sz w:val="18"/>
          <w:szCs w:val="18"/>
        </w:rPr>
        <w:t>合同自双方法定代表人或授权代表签字，并加盖双方公章或合同专用章后生效。</w:t>
      </w:r>
      <w:r>
        <w:rPr>
          <w:rFonts w:hint="eastAsia" w:cs="宋体"/>
          <w:kern w:val="0"/>
          <w:sz w:val="18"/>
          <w:szCs w:val="18"/>
        </w:rPr>
        <w:t>有效期至双方履行完合同条款，但有关产品质量保证和保密声明的条款除外。合同终止后，甲乙双方应遵循诚实信用原则，履行通知、协助、保密义务。</w:t>
      </w:r>
      <w:r>
        <w:rPr>
          <w:rFonts w:hint="eastAsia"/>
          <w:sz w:val="18"/>
          <w:szCs w:val="18"/>
        </w:rPr>
        <w:t>本合同一式</w:t>
      </w:r>
      <w:r>
        <w:rPr>
          <w:rFonts w:hint="eastAsia"/>
          <w:sz w:val="18"/>
          <w:szCs w:val="18"/>
          <w:lang w:val="en-US" w:eastAsia="zh-CN"/>
        </w:rPr>
        <w:t>贰</w:t>
      </w:r>
      <w:r>
        <w:rPr>
          <w:rFonts w:hint="eastAsia"/>
          <w:sz w:val="18"/>
          <w:szCs w:val="18"/>
        </w:rPr>
        <w:t>份，甲方</w:t>
      </w:r>
      <w:r>
        <w:rPr>
          <w:rFonts w:hint="eastAsia"/>
          <w:sz w:val="18"/>
          <w:szCs w:val="18"/>
          <w:lang w:val="en-US" w:eastAsia="zh-CN"/>
        </w:rPr>
        <w:t>壹</w:t>
      </w:r>
      <w:r>
        <w:rPr>
          <w:rFonts w:hint="eastAsia"/>
          <w:sz w:val="18"/>
          <w:szCs w:val="18"/>
        </w:rPr>
        <w:t>份，乙方壹份。</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permStart w:id="22" w:edGrp="everyone"/>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日期：  </w:t>
      </w:r>
    </w:p>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 xml:space="preserve">                    </w:t>
      </w:r>
    </w:p>
    <w:permEnd w:id="22"/>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lang w:eastAsia="zh-CN"/>
        </w:rPr>
        <w:t>乙</w:t>
      </w:r>
      <w:r>
        <w:rPr>
          <w:rFonts w:hint="eastAsia" w:hAnsi="宋体"/>
          <w:sz w:val="18"/>
          <w:szCs w:val="18"/>
        </w:rPr>
        <w:t>方（</w:t>
      </w:r>
      <w:r>
        <w:rPr>
          <w:rFonts w:hint="eastAsia" w:hAnsi="宋体"/>
          <w:sz w:val="18"/>
          <w:szCs w:val="18"/>
          <w:lang w:eastAsia="zh-CN"/>
        </w:rPr>
        <w:t>供</w:t>
      </w:r>
      <w:r>
        <w:rPr>
          <w:rFonts w:hint="eastAsia" w:hAnsi="宋体"/>
          <w:sz w:val="18"/>
          <w:szCs w:val="18"/>
        </w:rPr>
        <w:t>方盖章）</w:t>
      </w:r>
      <w:r>
        <w:rPr>
          <w:rFonts w:hint="eastAsia" w:hAnsi="宋体"/>
          <w:sz w:val="18"/>
          <w:szCs w:val="18"/>
          <w:lang w:eastAsia="zh-CN"/>
        </w:rPr>
        <w:t>：</w:t>
      </w:r>
      <w:r>
        <w:rPr>
          <w:rFonts w:hint="eastAsia" w:hAnsi="宋体"/>
          <w:sz w:val="18"/>
          <w:szCs w:val="18"/>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hAnsi="宋体"/>
          <w:sz w:val="18"/>
          <w:szCs w:val="18"/>
          <w:lang w:val="en-US" w:eastAsia="zh-CN"/>
        </w:rPr>
        <w:t xml:space="preserve"> </w:t>
      </w:r>
      <w:permStart w:id="23" w:edGrp="everyone"/>
      <w:r>
        <w:rPr>
          <w:rFonts w:hint="eastAsia" w:hAnsi="宋体"/>
          <w:sz w:val="18"/>
          <w:szCs w:val="18"/>
          <w:lang w:val="en-US" w:eastAsia="zh-CN"/>
        </w:rPr>
        <w:t xml:space="preserve">                                   </w:t>
      </w:r>
    </w:p>
    <w:permEnd w:id="23"/>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办公</w:t>
      </w:r>
      <w:r>
        <w:rPr>
          <w:rFonts w:hint="eastAsia" w:hAnsi="宋体"/>
          <w:sz w:val="18"/>
          <w:szCs w:val="18"/>
        </w:rPr>
        <w:t>地址：</w:t>
      </w:r>
      <w:permStart w:id="24" w:edGrp="everyone"/>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 xml:space="preserve">                                           </w:t>
      </w:r>
    </w:p>
    <w:permEnd w:id="24"/>
    <w:p>
      <w:pPr>
        <w:pStyle w:val="2"/>
        <w:jc w:val="both"/>
        <w:rPr>
          <w:rFonts w:hint="default"/>
          <w:b w:val="0"/>
          <w:bCs w:val="0"/>
          <w:lang w:val="en-US" w:eastAsia="zh-CN"/>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equalWidth="0" w:num="2">
            <w:col w:w="3940" w:space="425"/>
            <w:col w:w="3940"/>
          </w:cols>
          <w:docGrid w:type="lines" w:linePitch="312" w:charSpace="0"/>
        </w:sectPr>
      </w:pPr>
      <w:r>
        <w:rPr>
          <w:rFonts w:hint="eastAsia" w:hAnsi="宋体"/>
          <w:b w:val="0"/>
          <w:bCs w:val="0"/>
          <w:sz w:val="18"/>
          <w:szCs w:val="18"/>
          <w:lang w:val="en-US" w:eastAsia="zh-CN"/>
        </w:rPr>
        <w:t>日期：</w:t>
      </w:r>
      <w:permStart w:id="25" w:edGrp="everyone"/>
      <w:r>
        <w:rPr>
          <w:rFonts w:hint="eastAsia" w:hAnsi="宋体"/>
          <w:b w:val="0"/>
          <w:bCs w:val="0"/>
          <w:sz w:val="18"/>
          <w:szCs w:val="18"/>
          <w:lang w:val="en-US" w:eastAsia="zh-CN"/>
        </w:rPr>
        <w:t xml:space="preserve">                       </w:t>
      </w:r>
    </w:p>
    <w:permEnd w:id="25"/>
    <w:p>
      <w:pPr>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ermStart w:id="26" w:edGrp="everyone"/>
      <w:permEnd w:id="26"/>
    </w:p>
    <w:p>
      <w:pPr>
        <w:pStyle w:val="2"/>
        <w:ind w:firstLine="602" w:firstLineChars="200"/>
        <w:rPr>
          <w:rFonts w:hint="eastAsia"/>
          <w:lang w:eastAsia="zh-CN"/>
        </w:rPr>
      </w:pPr>
    </w:p>
    <w:p>
      <w:pPr>
        <w:pStyle w:val="2"/>
        <w:jc w:val="both"/>
        <w:rPr>
          <w:rFonts w:hint="eastAsia"/>
          <w:lang w:eastAsia="zh-CN"/>
        </w:rPr>
      </w:pPr>
    </w:p>
    <w:p>
      <w:pPr>
        <w:rPr>
          <w:rFonts w:hint="eastAsia"/>
          <w:lang w:eastAsia="zh-CN"/>
        </w:rPr>
      </w:pPr>
    </w:p>
    <w:p>
      <w:pPr>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ind w:left="0" w:leftChars="0" w:firstLine="0" w:firstLineChars="0"/>
      </w:pPr>
    </w:p>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r>
      <w:rPr>
        <w:rFonts w:hint="eastAsia" w:ascii="仿宋" w:hAnsi="仿宋" w:eastAsia="仿宋" w:cs="仿宋"/>
        <w:i w:val="0"/>
        <w:iCs/>
        <w:sz w:val="21"/>
        <w:szCs w:val="21"/>
        <w:lang w:val="en-US"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left"/>
    </w:pP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444A8C"/>
    <w:multiLevelType w:val="singleLevel"/>
    <w:tmpl w:val="5A444A8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1" w:cryptProviderType="rsaFull" w:cryptAlgorithmClass="hash" w:cryptAlgorithmType="typeAny" w:cryptAlgorithmSid="4" w:cryptSpinCount="0" w:hash="MketFXOwXUSRrsqLwP8rQzK8i/I=" w:salt="Cg2/gbNhzIBEklSwb+rLmg=="/>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2484CBB"/>
    <w:rsid w:val="04105BE6"/>
    <w:rsid w:val="04CA3514"/>
    <w:rsid w:val="05842172"/>
    <w:rsid w:val="05B6668C"/>
    <w:rsid w:val="05D1746F"/>
    <w:rsid w:val="095F7C4D"/>
    <w:rsid w:val="0C1832C4"/>
    <w:rsid w:val="13711C55"/>
    <w:rsid w:val="14F4604D"/>
    <w:rsid w:val="16D51B81"/>
    <w:rsid w:val="18890F2A"/>
    <w:rsid w:val="1CA60DC7"/>
    <w:rsid w:val="1CE160F1"/>
    <w:rsid w:val="1F623252"/>
    <w:rsid w:val="20281840"/>
    <w:rsid w:val="20967446"/>
    <w:rsid w:val="21692C0C"/>
    <w:rsid w:val="21B21A21"/>
    <w:rsid w:val="21D31FCD"/>
    <w:rsid w:val="22D738B5"/>
    <w:rsid w:val="260E6A7E"/>
    <w:rsid w:val="273E3ADE"/>
    <w:rsid w:val="2BEE7336"/>
    <w:rsid w:val="2CBA0669"/>
    <w:rsid w:val="2E513FE8"/>
    <w:rsid w:val="30F57CFA"/>
    <w:rsid w:val="34171ECF"/>
    <w:rsid w:val="3426464C"/>
    <w:rsid w:val="37FC65A3"/>
    <w:rsid w:val="388B145C"/>
    <w:rsid w:val="39A8325F"/>
    <w:rsid w:val="3BA649AE"/>
    <w:rsid w:val="3C6C3A8E"/>
    <w:rsid w:val="3F5F77ED"/>
    <w:rsid w:val="41A97E3D"/>
    <w:rsid w:val="41FC2766"/>
    <w:rsid w:val="442B31C6"/>
    <w:rsid w:val="44C122AA"/>
    <w:rsid w:val="46B91474"/>
    <w:rsid w:val="4870313A"/>
    <w:rsid w:val="493D5294"/>
    <w:rsid w:val="4C3E5BB3"/>
    <w:rsid w:val="4EA44A0C"/>
    <w:rsid w:val="4ED0759F"/>
    <w:rsid w:val="578A77A0"/>
    <w:rsid w:val="58985F70"/>
    <w:rsid w:val="58F80C28"/>
    <w:rsid w:val="5D853E8B"/>
    <w:rsid w:val="60AD0992"/>
    <w:rsid w:val="638948A8"/>
    <w:rsid w:val="64195E7F"/>
    <w:rsid w:val="649D3833"/>
    <w:rsid w:val="69534266"/>
    <w:rsid w:val="6962156C"/>
    <w:rsid w:val="69825245"/>
    <w:rsid w:val="698D2817"/>
    <w:rsid w:val="6D507E22"/>
    <w:rsid w:val="6EE75B06"/>
    <w:rsid w:val="734759BC"/>
    <w:rsid w:val="74F328D8"/>
    <w:rsid w:val="752B56DD"/>
    <w:rsid w:val="758E4C7E"/>
    <w:rsid w:val="78252A4E"/>
    <w:rsid w:val="78CE217B"/>
    <w:rsid w:val="7B0A5758"/>
    <w:rsid w:val="7B13085E"/>
    <w:rsid w:val="7ED678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lyf</cp:lastModifiedBy>
  <cp:lastPrinted>2018-06-15T01:24:00Z</cp:lastPrinted>
  <dcterms:modified xsi:type="dcterms:W3CDTF">2021-05-19T06:33:14Z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8CFFC31D0CDB42FAA7A26A306B858B79</vt:lpwstr>
  </property>
</Properties>
</file>