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pPr>
      <w:permStart w:id="0" w:edGrp="everyone"/>
      <w:permEnd w:id="0"/>
      <w:r>
        <w:rPr>
          <w:rFonts w:hint="eastAsia"/>
        </w:rPr>
        <w:t>商 品 混 凝 土 购 销 合 同</w:t>
      </w:r>
    </w:p>
    <w:p>
      <w:pPr>
        <w:ind w:firstLine="6080" w:firstLineChars="3200"/>
      </w:pPr>
      <w:r>
        <w:rPr>
          <w:rFonts w:hint="eastAsia"/>
          <w:sz w:val="19"/>
          <w:szCs w:val="19"/>
          <w:u w:val="none"/>
          <w:lang w:eastAsia="zh-CN"/>
        </w:rPr>
        <w:t>合同编号：</w:t>
      </w:r>
      <w:r>
        <w:rPr>
          <w:rFonts w:hint="eastAsia"/>
          <w:sz w:val="19"/>
          <w:szCs w:val="19"/>
          <w:u w:val="none"/>
          <w:lang w:val="en-US" w:eastAsia="zh-CN"/>
        </w:rPr>
        <w:t>XYJZ2020</w:t>
      </w:r>
      <w:r>
        <w:rPr>
          <w:rFonts w:hint="eastAsia"/>
          <w:sz w:val="19"/>
          <w:szCs w:val="19"/>
          <w:u w:val="single"/>
          <w:lang w:val="en-US" w:eastAsia="zh-CN"/>
        </w:rPr>
        <w:t xml:space="preserve"> -     </w:t>
      </w:r>
      <w:r>
        <w:rPr>
          <w:rFonts w:hint="eastAsia"/>
          <w:sz w:val="19"/>
          <w:szCs w:val="19"/>
          <w:u w:val="none"/>
          <w:lang w:val="en-US" w:eastAsia="zh-CN"/>
        </w:rPr>
        <w:t xml:space="preserve">  </w:t>
      </w:r>
      <w:r>
        <w:rPr>
          <w:rFonts w:hint="eastAsia"/>
          <w:sz w:val="19"/>
          <w:szCs w:val="19"/>
          <w:u w:val="single"/>
          <w:lang w:val="en-US" w:eastAsia="zh-CN"/>
        </w:rPr>
        <w:t xml:space="preserve">      </w:t>
      </w:r>
      <w:r>
        <w:rPr>
          <w:rFonts w:hint="eastAsia"/>
          <w:sz w:val="28"/>
          <w:szCs w:val="28"/>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需方：</w:t>
      </w:r>
      <w:r>
        <w:rPr>
          <w:rFonts w:hint="eastAsia"/>
          <w:sz w:val="18"/>
          <w:szCs w:val="18"/>
          <w:u w:val="single"/>
          <w:lang w:eastAsia="zh-CN"/>
        </w:rPr>
        <w:t>呼和浩特市兴业建筑工程有限责任公司</w:t>
      </w:r>
      <w:r>
        <w:rPr>
          <w:rFonts w:hint="eastAsia"/>
          <w:sz w:val="18"/>
          <w:szCs w:val="18"/>
        </w:rPr>
        <w:t>（以下简称“甲方”）</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供方：</w:t>
      </w:r>
      <w:permStart w:id="1" w:edGrp="everyone"/>
      <w:r>
        <w:rPr>
          <w:rFonts w:hint="eastAsia"/>
          <w:sz w:val="18"/>
          <w:szCs w:val="18"/>
          <w:u w:val="single"/>
        </w:rPr>
        <w:t xml:space="preserve">                          </w:t>
      </w:r>
      <w:permEnd w:id="1"/>
      <w:r>
        <w:rPr>
          <w:rFonts w:hint="eastAsia"/>
          <w:sz w:val="18"/>
          <w:szCs w:val="18"/>
        </w:rPr>
        <w:t>（以下简称“乙方”）</w:t>
      </w:r>
      <w:bookmarkStart w:id="0" w:name="_GoBack"/>
      <w:bookmarkEnd w:id="0"/>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经甲乙双方共同协商，按照《中华人民共和国合同法》及相关法律法规，遵循平等、自愿、公开和诚实信用的原则，双方就</w:t>
      </w:r>
      <w:permStart w:id="2" w:edGrp="everyone"/>
      <w:r>
        <w:rPr>
          <w:rFonts w:hint="eastAsia"/>
          <w:sz w:val="18"/>
          <w:szCs w:val="18"/>
          <w:u w:val="single"/>
        </w:rPr>
        <w:t xml:space="preserve">     </w:t>
      </w:r>
      <w:r>
        <w:rPr>
          <w:sz w:val="18"/>
          <w:szCs w:val="18"/>
          <w:u w:val="single"/>
        </w:rPr>
        <w:t xml:space="preserve">        </w:t>
      </w:r>
      <w:r>
        <w:rPr>
          <w:rFonts w:hint="eastAsia"/>
          <w:sz w:val="18"/>
          <w:szCs w:val="18"/>
          <w:u w:val="single"/>
        </w:rPr>
        <w:t xml:space="preserve">  </w:t>
      </w:r>
      <w:r>
        <w:rPr>
          <w:rFonts w:hint="eastAsia"/>
          <w:sz w:val="18"/>
          <w:szCs w:val="18"/>
          <w:u w:val="single"/>
          <w:lang w:val="en-US" w:eastAsia="zh-CN"/>
        </w:rPr>
        <w:t xml:space="preserve">                    </w:t>
      </w:r>
      <w:r>
        <w:rPr>
          <w:rFonts w:hint="eastAsia"/>
          <w:sz w:val="18"/>
          <w:szCs w:val="18"/>
          <w:u w:val="single"/>
        </w:rPr>
        <w:t xml:space="preserve">       </w:t>
      </w:r>
      <w:permEnd w:id="2"/>
      <w:r>
        <w:rPr>
          <w:rFonts w:hint="eastAsia"/>
          <w:sz w:val="18"/>
          <w:szCs w:val="18"/>
          <w:u w:val="single"/>
        </w:rPr>
        <w:t xml:space="preserve"> </w:t>
      </w:r>
      <w:r>
        <w:rPr>
          <w:rFonts w:hint="eastAsia"/>
          <w:sz w:val="18"/>
          <w:szCs w:val="18"/>
        </w:rPr>
        <w:t>工程建筑采购商品</w:t>
      </w:r>
      <w:r>
        <w:rPr>
          <w:sz w:val="18"/>
          <w:szCs w:val="18"/>
        </w:rPr>
        <w:t>混凝土</w:t>
      </w:r>
      <w:r>
        <w:rPr>
          <w:rFonts w:hint="eastAsia"/>
          <w:sz w:val="18"/>
          <w:szCs w:val="18"/>
        </w:rPr>
        <w:t>事宜签订如下协议：</w:t>
      </w:r>
    </w:p>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b/>
          <w:sz w:val="18"/>
          <w:szCs w:val="18"/>
        </w:rPr>
      </w:pPr>
      <w:r>
        <w:rPr>
          <w:rFonts w:hint="eastAsia"/>
          <w:b/>
          <w:sz w:val="18"/>
          <w:szCs w:val="18"/>
        </w:rPr>
        <w:t>第一条</w:t>
      </w:r>
      <w:r>
        <w:rPr>
          <w:b/>
          <w:sz w:val="18"/>
          <w:szCs w:val="18"/>
        </w:rPr>
        <w:t xml:space="preserve">  </w:t>
      </w:r>
      <w:r>
        <w:rPr>
          <w:rFonts w:hint="eastAsia"/>
          <w:b/>
          <w:sz w:val="18"/>
          <w:szCs w:val="18"/>
        </w:rPr>
        <w:t>产品名称、规格、价格、数量、金额及供货周期</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1、本工程商品混凝土供应量暂估约</w:t>
      </w:r>
      <w:permStart w:id="3" w:edGrp="everyone"/>
      <w:r>
        <w:rPr>
          <w:rFonts w:hint="eastAsia"/>
          <w:sz w:val="18"/>
          <w:szCs w:val="18"/>
          <w:u w:val="single"/>
        </w:rPr>
        <w:t xml:space="preserve">      </w:t>
      </w:r>
      <w:permEnd w:id="3"/>
      <w:r>
        <w:rPr>
          <w:rFonts w:ascii="Arial" w:hAnsi="Arial" w:cs="Arial"/>
          <w:sz w:val="18"/>
          <w:szCs w:val="18"/>
        </w:rPr>
        <w:t>m</w:t>
      </w:r>
      <w:r>
        <w:rPr>
          <w:rFonts w:ascii="Arial" w:hAnsi="Arial" w:cs="Arial"/>
          <w:sz w:val="18"/>
          <w:szCs w:val="18"/>
          <w:vertAlign w:val="superscript"/>
        </w:rPr>
        <w:t>3</w:t>
      </w:r>
      <w:r>
        <w:rPr>
          <w:rFonts w:hint="eastAsia"/>
          <w:sz w:val="18"/>
          <w:szCs w:val="18"/>
        </w:rPr>
        <w:t>，总价值</w:t>
      </w:r>
      <w:r>
        <w:rPr>
          <w:sz w:val="18"/>
          <w:szCs w:val="18"/>
        </w:rPr>
        <w:t>为</w:t>
      </w:r>
      <w:r>
        <w:rPr>
          <w:rFonts w:hint="eastAsia"/>
          <w:sz w:val="18"/>
          <w:szCs w:val="18"/>
        </w:rPr>
        <w:t>大写</w:t>
      </w:r>
      <w:r>
        <w:rPr>
          <w:sz w:val="18"/>
          <w:szCs w:val="18"/>
        </w:rPr>
        <w:t>：</w:t>
      </w:r>
      <w:permStart w:id="4" w:edGrp="everyone"/>
      <w:r>
        <w:rPr>
          <w:rFonts w:hint="eastAsia"/>
          <w:sz w:val="18"/>
          <w:szCs w:val="18"/>
          <w:u w:val="single"/>
        </w:rPr>
        <w:t xml:space="preserve">      </w:t>
      </w:r>
      <w:permEnd w:id="4"/>
      <w:r>
        <w:rPr>
          <w:rFonts w:hint="eastAsia"/>
          <w:sz w:val="18"/>
          <w:szCs w:val="18"/>
        </w:rPr>
        <w:t>元。该数量为暂估量，最终结算数量以实际供应量为准。混凝土供货周期约</w:t>
      </w:r>
      <w:permStart w:id="5" w:edGrp="everyone"/>
      <w:r>
        <w:rPr>
          <w:rFonts w:hint="eastAsia"/>
          <w:sz w:val="18"/>
          <w:szCs w:val="18"/>
          <w:u w:val="single"/>
        </w:rPr>
        <w:t xml:space="preserve">  </w:t>
      </w:r>
      <w:r>
        <w:rPr>
          <w:sz w:val="18"/>
          <w:szCs w:val="18"/>
          <w:u w:val="single"/>
        </w:rPr>
        <w:t xml:space="preserve"> </w:t>
      </w:r>
      <w:r>
        <w:rPr>
          <w:rFonts w:hint="eastAsia"/>
          <w:sz w:val="18"/>
          <w:szCs w:val="18"/>
          <w:u w:val="single"/>
        </w:rPr>
        <w:t xml:space="preserve">  </w:t>
      </w:r>
      <w:permEnd w:id="5"/>
      <w:r>
        <w:rPr>
          <w:rFonts w:hint="eastAsia"/>
          <w:sz w:val="18"/>
          <w:szCs w:val="18"/>
        </w:rPr>
        <w:t>个月。具体的表格如下：</w:t>
      </w:r>
    </w:p>
    <w:tbl>
      <w:tblPr>
        <w:tblStyle w:val="5"/>
        <w:tblW w:w="81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96"/>
        <w:gridCol w:w="2153"/>
        <w:gridCol w:w="2153"/>
        <w:gridCol w:w="21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696"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Ansi="宋体"/>
                <w:sz w:val="18"/>
                <w:szCs w:val="18"/>
              </w:rPr>
            </w:pPr>
            <w:r>
              <w:rPr>
                <w:rFonts w:hint="eastAsia" w:hAnsi="宋体"/>
                <w:sz w:val="18"/>
                <w:szCs w:val="18"/>
              </w:rPr>
              <w:t>品种</w:t>
            </w:r>
          </w:p>
        </w:tc>
        <w:tc>
          <w:tcPr>
            <w:tcW w:w="2153"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Ansi="宋体"/>
                <w:sz w:val="18"/>
                <w:szCs w:val="18"/>
              </w:rPr>
            </w:pPr>
            <w:r>
              <w:rPr>
                <w:rFonts w:hint="eastAsia" w:hAnsi="宋体"/>
                <w:sz w:val="18"/>
                <w:szCs w:val="18"/>
              </w:rPr>
              <w:t>单价（含增值税）</w:t>
            </w:r>
          </w:p>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Ansi="宋体"/>
                <w:sz w:val="18"/>
                <w:szCs w:val="18"/>
              </w:rPr>
            </w:pPr>
            <w:r>
              <w:rPr>
                <w:rFonts w:hint="eastAsia" w:hAnsi="宋体"/>
                <w:sz w:val="18"/>
                <w:szCs w:val="18"/>
              </w:rPr>
              <w:t>（元/m</w:t>
            </w:r>
            <w:r>
              <w:rPr>
                <w:rFonts w:hint="eastAsia" w:hAnsi="宋体"/>
                <w:sz w:val="18"/>
                <w:szCs w:val="18"/>
                <w:vertAlign w:val="superscript"/>
              </w:rPr>
              <w:t>3</w:t>
            </w:r>
            <w:r>
              <w:rPr>
                <w:rFonts w:hint="eastAsia" w:hAnsi="宋体"/>
                <w:sz w:val="18"/>
                <w:szCs w:val="18"/>
              </w:rPr>
              <w:t>）</w:t>
            </w:r>
          </w:p>
        </w:tc>
        <w:tc>
          <w:tcPr>
            <w:tcW w:w="2153"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Ansi="宋体"/>
                <w:sz w:val="18"/>
                <w:szCs w:val="18"/>
              </w:rPr>
            </w:pPr>
            <w:r>
              <w:rPr>
                <w:rFonts w:hint="eastAsia" w:hAnsi="宋体"/>
                <w:sz w:val="18"/>
                <w:szCs w:val="18"/>
              </w:rPr>
              <w:t>数量（m</w:t>
            </w:r>
            <w:r>
              <w:rPr>
                <w:rFonts w:hint="eastAsia" w:hAnsi="宋体"/>
                <w:sz w:val="18"/>
                <w:szCs w:val="18"/>
                <w:vertAlign w:val="superscript"/>
              </w:rPr>
              <w:t>3</w:t>
            </w:r>
            <w:r>
              <w:rPr>
                <w:rFonts w:hint="eastAsia" w:hAnsi="宋体"/>
                <w:sz w:val="18"/>
                <w:szCs w:val="18"/>
              </w:rPr>
              <w:t>）</w:t>
            </w:r>
          </w:p>
        </w:tc>
        <w:tc>
          <w:tcPr>
            <w:tcW w:w="2154"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Ansi="宋体"/>
                <w:sz w:val="18"/>
                <w:szCs w:val="18"/>
              </w:rPr>
            </w:pPr>
            <w:r>
              <w:rPr>
                <w:rFonts w:hint="eastAsia" w:hAnsi="宋体"/>
                <w:sz w:val="18"/>
                <w:szCs w:val="18"/>
              </w:rPr>
              <w:t>合计价（元）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696"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Ansi="宋体"/>
                <w:sz w:val="18"/>
                <w:szCs w:val="18"/>
              </w:rPr>
            </w:pPr>
            <w:permStart w:id="6" w:edGrp="everyone" w:colFirst="1" w:colLast="1"/>
            <w:permStart w:id="7" w:edGrp="everyone" w:colFirst="2" w:colLast="2"/>
            <w:permStart w:id="8" w:edGrp="everyone" w:colFirst="3" w:colLast="3"/>
            <w:r>
              <w:rPr>
                <w:rFonts w:hint="eastAsia" w:hAnsi="宋体"/>
                <w:sz w:val="18"/>
                <w:szCs w:val="18"/>
              </w:rPr>
              <w:t>C15</w:t>
            </w:r>
          </w:p>
        </w:tc>
        <w:tc>
          <w:tcPr>
            <w:tcW w:w="2153"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Ansi="宋体"/>
                <w:sz w:val="18"/>
                <w:szCs w:val="18"/>
              </w:rPr>
            </w:pPr>
            <w:r>
              <w:rPr>
                <w:rFonts w:hint="eastAsia" w:hAnsi="宋体"/>
                <w:sz w:val="18"/>
                <w:szCs w:val="18"/>
              </w:rPr>
              <w:t xml:space="preserve"> </w:t>
            </w:r>
            <w:r>
              <w:rPr>
                <w:rFonts w:hAnsi="宋体"/>
                <w:sz w:val="18"/>
                <w:szCs w:val="18"/>
              </w:rPr>
              <w:t xml:space="preserve">   </w:t>
            </w:r>
            <w:r>
              <w:rPr>
                <w:rFonts w:hint="eastAsia" w:hAnsi="宋体"/>
                <w:sz w:val="18"/>
                <w:szCs w:val="18"/>
              </w:rPr>
              <w:t xml:space="preserve">   </w:t>
            </w:r>
          </w:p>
        </w:tc>
        <w:tc>
          <w:tcPr>
            <w:tcW w:w="2153"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Ansi="宋体"/>
                <w:sz w:val="18"/>
                <w:szCs w:val="18"/>
              </w:rPr>
            </w:pPr>
            <w:r>
              <w:rPr>
                <w:rFonts w:hint="eastAsia" w:hAnsi="宋体"/>
                <w:sz w:val="18"/>
                <w:szCs w:val="18"/>
              </w:rPr>
              <w:t xml:space="preserve">  </w:t>
            </w:r>
            <w:r>
              <w:rPr>
                <w:rFonts w:hAnsi="宋体"/>
                <w:sz w:val="18"/>
                <w:szCs w:val="18"/>
              </w:rPr>
              <w:t xml:space="preserve">   </w:t>
            </w:r>
            <w:r>
              <w:rPr>
                <w:rFonts w:hint="eastAsia" w:hAnsi="宋体"/>
                <w:sz w:val="18"/>
                <w:szCs w:val="18"/>
              </w:rPr>
              <w:t xml:space="preserve">  </w:t>
            </w:r>
          </w:p>
        </w:tc>
        <w:tc>
          <w:tcPr>
            <w:tcW w:w="2154"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Ansi="宋体"/>
                <w:sz w:val="18"/>
                <w:szCs w:val="18"/>
              </w:rPr>
            </w:pPr>
            <w:r>
              <w:rPr>
                <w:rFonts w:hint="eastAsia" w:hAnsi="宋体"/>
                <w:sz w:val="18"/>
                <w:szCs w:val="18"/>
              </w:rPr>
              <w:t xml:space="preserve"> </w:t>
            </w:r>
            <w:r>
              <w:rPr>
                <w:rFonts w:hAnsi="宋体"/>
                <w:sz w:val="18"/>
                <w:szCs w:val="18"/>
              </w:rPr>
              <w:t xml:space="preserve">    </w:t>
            </w:r>
            <w:r>
              <w:rPr>
                <w:rFonts w:hint="eastAsia" w:hAnsi="宋体"/>
                <w:sz w:val="18"/>
                <w:szCs w:val="18"/>
              </w:rPr>
              <w:t xml:space="preserve">   </w:t>
            </w:r>
          </w:p>
        </w:tc>
      </w:tr>
      <w:permEnd w:id="6"/>
      <w:permEnd w:id="7"/>
      <w:permEnd w:id="8"/>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696"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Ansi="宋体"/>
                <w:sz w:val="18"/>
                <w:szCs w:val="18"/>
              </w:rPr>
            </w:pPr>
            <w:permStart w:id="9" w:edGrp="everyone" w:colFirst="1" w:colLast="1"/>
            <w:permStart w:id="10" w:edGrp="everyone" w:colFirst="2" w:colLast="2"/>
            <w:permStart w:id="11" w:edGrp="everyone" w:colFirst="3" w:colLast="3"/>
            <w:r>
              <w:rPr>
                <w:rFonts w:hint="eastAsia" w:hAnsi="宋体"/>
                <w:sz w:val="18"/>
                <w:szCs w:val="18"/>
              </w:rPr>
              <w:t>C20</w:t>
            </w:r>
          </w:p>
        </w:tc>
        <w:tc>
          <w:tcPr>
            <w:tcW w:w="2153"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Ansi="宋体"/>
                <w:sz w:val="18"/>
                <w:szCs w:val="18"/>
              </w:rPr>
            </w:pPr>
            <w:r>
              <w:rPr>
                <w:rFonts w:hint="eastAsia" w:hAnsi="宋体"/>
                <w:sz w:val="18"/>
                <w:szCs w:val="18"/>
              </w:rPr>
              <w:t xml:space="preserve"> </w:t>
            </w:r>
            <w:r>
              <w:rPr>
                <w:rFonts w:hAnsi="宋体"/>
                <w:sz w:val="18"/>
                <w:szCs w:val="18"/>
              </w:rPr>
              <w:t xml:space="preserve">   </w:t>
            </w:r>
            <w:r>
              <w:rPr>
                <w:rFonts w:hint="eastAsia" w:hAnsi="宋体"/>
                <w:sz w:val="18"/>
                <w:szCs w:val="18"/>
              </w:rPr>
              <w:t xml:space="preserve">   </w:t>
            </w:r>
          </w:p>
        </w:tc>
        <w:tc>
          <w:tcPr>
            <w:tcW w:w="2153"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Ansi="宋体"/>
                <w:sz w:val="18"/>
                <w:szCs w:val="18"/>
              </w:rPr>
            </w:pPr>
            <w:r>
              <w:rPr>
                <w:rFonts w:hint="eastAsia" w:hAnsi="宋体"/>
                <w:sz w:val="18"/>
                <w:szCs w:val="18"/>
              </w:rPr>
              <w:t xml:space="preserve">  </w:t>
            </w:r>
            <w:r>
              <w:rPr>
                <w:rFonts w:hAnsi="宋体"/>
                <w:sz w:val="18"/>
                <w:szCs w:val="18"/>
              </w:rPr>
              <w:t xml:space="preserve">   </w:t>
            </w:r>
            <w:r>
              <w:rPr>
                <w:rFonts w:hint="eastAsia" w:hAnsi="宋体"/>
                <w:sz w:val="18"/>
                <w:szCs w:val="18"/>
              </w:rPr>
              <w:t xml:space="preserve">  </w:t>
            </w:r>
          </w:p>
        </w:tc>
        <w:tc>
          <w:tcPr>
            <w:tcW w:w="2154"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Ansi="宋体"/>
                <w:sz w:val="18"/>
                <w:szCs w:val="18"/>
              </w:rPr>
            </w:pPr>
            <w:r>
              <w:rPr>
                <w:rFonts w:hint="eastAsia" w:hAnsi="宋体"/>
                <w:sz w:val="18"/>
                <w:szCs w:val="18"/>
              </w:rPr>
              <w:t xml:space="preserve"> </w:t>
            </w:r>
            <w:r>
              <w:rPr>
                <w:rFonts w:hAnsi="宋体"/>
                <w:sz w:val="18"/>
                <w:szCs w:val="18"/>
              </w:rPr>
              <w:t xml:space="preserve">    </w:t>
            </w:r>
            <w:r>
              <w:rPr>
                <w:rFonts w:hint="eastAsia" w:hAnsi="宋体"/>
                <w:sz w:val="18"/>
                <w:szCs w:val="18"/>
              </w:rPr>
              <w:t xml:space="preserve">   </w:t>
            </w:r>
          </w:p>
        </w:tc>
      </w:tr>
      <w:permEnd w:id="9"/>
      <w:permEnd w:id="10"/>
      <w:permEnd w:id="11"/>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696"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Ansi="宋体"/>
                <w:sz w:val="18"/>
                <w:szCs w:val="18"/>
              </w:rPr>
            </w:pPr>
            <w:permStart w:id="12" w:edGrp="everyone" w:colFirst="1" w:colLast="1"/>
            <w:permStart w:id="13" w:edGrp="everyone" w:colFirst="2" w:colLast="2"/>
            <w:permStart w:id="14" w:edGrp="everyone" w:colFirst="3" w:colLast="3"/>
            <w:r>
              <w:rPr>
                <w:rFonts w:hint="eastAsia" w:hAnsi="宋体"/>
                <w:sz w:val="18"/>
                <w:szCs w:val="18"/>
              </w:rPr>
              <w:t>C25</w:t>
            </w:r>
          </w:p>
        </w:tc>
        <w:tc>
          <w:tcPr>
            <w:tcW w:w="2153"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Ansi="宋体"/>
                <w:sz w:val="18"/>
                <w:szCs w:val="18"/>
              </w:rPr>
            </w:pPr>
            <w:r>
              <w:rPr>
                <w:rFonts w:hint="eastAsia" w:hAnsi="宋体"/>
                <w:sz w:val="18"/>
                <w:szCs w:val="18"/>
              </w:rPr>
              <w:t xml:space="preserve"> </w:t>
            </w:r>
            <w:r>
              <w:rPr>
                <w:rFonts w:hAnsi="宋体"/>
                <w:sz w:val="18"/>
                <w:szCs w:val="18"/>
              </w:rPr>
              <w:t xml:space="preserve">   </w:t>
            </w:r>
            <w:r>
              <w:rPr>
                <w:rFonts w:hint="eastAsia" w:hAnsi="宋体"/>
                <w:sz w:val="18"/>
                <w:szCs w:val="18"/>
              </w:rPr>
              <w:t xml:space="preserve">   </w:t>
            </w:r>
          </w:p>
        </w:tc>
        <w:tc>
          <w:tcPr>
            <w:tcW w:w="2153"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Ansi="宋体"/>
                <w:sz w:val="18"/>
                <w:szCs w:val="18"/>
              </w:rPr>
            </w:pPr>
            <w:r>
              <w:rPr>
                <w:rFonts w:hint="eastAsia" w:hAnsi="宋体"/>
                <w:sz w:val="18"/>
                <w:szCs w:val="18"/>
              </w:rPr>
              <w:t xml:space="preserve">  </w:t>
            </w:r>
            <w:r>
              <w:rPr>
                <w:rFonts w:hAnsi="宋体"/>
                <w:sz w:val="18"/>
                <w:szCs w:val="18"/>
              </w:rPr>
              <w:t xml:space="preserve">   </w:t>
            </w:r>
            <w:r>
              <w:rPr>
                <w:rFonts w:hint="eastAsia" w:hAnsi="宋体"/>
                <w:sz w:val="18"/>
                <w:szCs w:val="18"/>
              </w:rPr>
              <w:t xml:space="preserve">  </w:t>
            </w:r>
          </w:p>
        </w:tc>
        <w:tc>
          <w:tcPr>
            <w:tcW w:w="2154"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Ansi="宋体"/>
                <w:sz w:val="18"/>
                <w:szCs w:val="18"/>
              </w:rPr>
            </w:pPr>
            <w:r>
              <w:rPr>
                <w:rFonts w:hint="eastAsia" w:hAnsi="宋体"/>
                <w:sz w:val="18"/>
                <w:szCs w:val="18"/>
              </w:rPr>
              <w:t xml:space="preserve"> </w:t>
            </w:r>
            <w:r>
              <w:rPr>
                <w:rFonts w:hAnsi="宋体"/>
                <w:sz w:val="18"/>
                <w:szCs w:val="18"/>
              </w:rPr>
              <w:t xml:space="preserve">    </w:t>
            </w:r>
            <w:r>
              <w:rPr>
                <w:rFonts w:hint="eastAsia" w:hAnsi="宋体"/>
                <w:sz w:val="18"/>
                <w:szCs w:val="18"/>
              </w:rPr>
              <w:t xml:space="preserve">   </w:t>
            </w:r>
          </w:p>
        </w:tc>
      </w:tr>
      <w:permEnd w:id="12"/>
      <w:permEnd w:id="13"/>
      <w:permEnd w:id="14"/>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696"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Ansi="宋体"/>
                <w:sz w:val="18"/>
                <w:szCs w:val="18"/>
              </w:rPr>
            </w:pPr>
            <w:permStart w:id="15" w:edGrp="everyone" w:colFirst="1" w:colLast="1"/>
            <w:permStart w:id="16" w:edGrp="everyone" w:colFirst="2" w:colLast="2"/>
            <w:permStart w:id="17" w:edGrp="everyone" w:colFirst="3" w:colLast="3"/>
            <w:r>
              <w:rPr>
                <w:rFonts w:hint="eastAsia" w:hAnsi="宋体"/>
                <w:sz w:val="18"/>
                <w:szCs w:val="18"/>
              </w:rPr>
              <w:t>C30</w:t>
            </w:r>
          </w:p>
        </w:tc>
        <w:tc>
          <w:tcPr>
            <w:tcW w:w="2153"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Ansi="宋体"/>
                <w:sz w:val="18"/>
                <w:szCs w:val="18"/>
              </w:rPr>
            </w:pPr>
            <w:r>
              <w:rPr>
                <w:rFonts w:hint="eastAsia" w:hAnsi="宋体"/>
                <w:sz w:val="18"/>
                <w:szCs w:val="18"/>
              </w:rPr>
              <w:t xml:space="preserve"> </w:t>
            </w:r>
            <w:r>
              <w:rPr>
                <w:rFonts w:hAnsi="宋体"/>
                <w:sz w:val="18"/>
                <w:szCs w:val="18"/>
              </w:rPr>
              <w:t xml:space="preserve">   </w:t>
            </w:r>
            <w:r>
              <w:rPr>
                <w:rFonts w:hint="eastAsia" w:hAnsi="宋体"/>
                <w:sz w:val="18"/>
                <w:szCs w:val="18"/>
              </w:rPr>
              <w:t xml:space="preserve">   </w:t>
            </w:r>
          </w:p>
        </w:tc>
        <w:tc>
          <w:tcPr>
            <w:tcW w:w="2153"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Ansi="宋体"/>
                <w:sz w:val="18"/>
                <w:szCs w:val="18"/>
              </w:rPr>
            </w:pPr>
            <w:r>
              <w:rPr>
                <w:rFonts w:hint="eastAsia" w:hAnsi="宋体"/>
                <w:sz w:val="18"/>
                <w:szCs w:val="18"/>
              </w:rPr>
              <w:t xml:space="preserve"> </w:t>
            </w:r>
            <w:r>
              <w:rPr>
                <w:rFonts w:hAnsi="宋体"/>
                <w:sz w:val="18"/>
                <w:szCs w:val="18"/>
              </w:rPr>
              <w:t xml:space="preserve">   </w:t>
            </w:r>
            <w:r>
              <w:rPr>
                <w:rFonts w:hint="eastAsia" w:hAnsi="宋体"/>
                <w:sz w:val="18"/>
                <w:szCs w:val="18"/>
              </w:rPr>
              <w:t xml:space="preserve">   </w:t>
            </w:r>
          </w:p>
        </w:tc>
        <w:tc>
          <w:tcPr>
            <w:tcW w:w="2154"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Ansi="宋体"/>
                <w:sz w:val="18"/>
                <w:szCs w:val="18"/>
              </w:rPr>
            </w:pPr>
            <w:r>
              <w:rPr>
                <w:rFonts w:hint="eastAsia" w:hAnsi="宋体"/>
                <w:sz w:val="18"/>
                <w:szCs w:val="18"/>
              </w:rPr>
              <w:t xml:space="preserve"> </w:t>
            </w:r>
            <w:r>
              <w:rPr>
                <w:rFonts w:hAnsi="宋体"/>
                <w:sz w:val="18"/>
                <w:szCs w:val="18"/>
              </w:rPr>
              <w:t xml:space="preserve">    </w:t>
            </w:r>
            <w:r>
              <w:rPr>
                <w:rFonts w:hint="eastAsia" w:hAnsi="宋体"/>
                <w:sz w:val="18"/>
                <w:szCs w:val="18"/>
              </w:rPr>
              <w:t xml:space="preserve">   </w:t>
            </w:r>
          </w:p>
        </w:tc>
      </w:tr>
      <w:permEnd w:id="15"/>
      <w:permEnd w:id="16"/>
      <w:permEnd w:id="17"/>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696"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Ansi="宋体"/>
                <w:sz w:val="18"/>
                <w:szCs w:val="18"/>
              </w:rPr>
            </w:pPr>
            <w:permStart w:id="18" w:edGrp="everyone" w:colFirst="1" w:colLast="1"/>
            <w:permStart w:id="19" w:edGrp="everyone" w:colFirst="2" w:colLast="2"/>
            <w:permStart w:id="20" w:edGrp="everyone" w:colFirst="3" w:colLast="3"/>
            <w:r>
              <w:rPr>
                <w:rFonts w:hint="eastAsia" w:hAnsi="宋体"/>
                <w:sz w:val="18"/>
                <w:szCs w:val="18"/>
              </w:rPr>
              <w:t>C35</w:t>
            </w:r>
          </w:p>
        </w:tc>
        <w:tc>
          <w:tcPr>
            <w:tcW w:w="2153"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Ansi="宋体"/>
                <w:sz w:val="18"/>
                <w:szCs w:val="18"/>
              </w:rPr>
            </w:pPr>
            <w:r>
              <w:rPr>
                <w:rFonts w:hint="eastAsia" w:hAnsi="宋体"/>
                <w:sz w:val="18"/>
                <w:szCs w:val="18"/>
              </w:rPr>
              <w:t xml:space="preserve"> </w:t>
            </w:r>
            <w:r>
              <w:rPr>
                <w:rFonts w:hAnsi="宋体"/>
                <w:sz w:val="18"/>
                <w:szCs w:val="18"/>
              </w:rPr>
              <w:t xml:space="preserve">   </w:t>
            </w:r>
            <w:r>
              <w:rPr>
                <w:rFonts w:hint="eastAsia" w:hAnsi="宋体"/>
                <w:sz w:val="18"/>
                <w:szCs w:val="18"/>
              </w:rPr>
              <w:t xml:space="preserve">   </w:t>
            </w:r>
          </w:p>
        </w:tc>
        <w:tc>
          <w:tcPr>
            <w:tcW w:w="2153"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Ansi="宋体"/>
                <w:sz w:val="18"/>
                <w:szCs w:val="18"/>
              </w:rPr>
            </w:pPr>
            <w:r>
              <w:rPr>
                <w:rFonts w:hint="eastAsia" w:hAnsi="宋体"/>
                <w:sz w:val="18"/>
                <w:szCs w:val="18"/>
              </w:rPr>
              <w:t xml:space="preserve"> </w:t>
            </w:r>
            <w:r>
              <w:rPr>
                <w:rFonts w:hAnsi="宋体"/>
                <w:sz w:val="18"/>
                <w:szCs w:val="18"/>
              </w:rPr>
              <w:t xml:space="preserve">   </w:t>
            </w:r>
            <w:r>
              <w:rPr>
                <w:rFonts w:hint="eastAsia" w:hAnsi="宋体"/>
                <w:sz w:val="18"/>
                <w:szCs w:val="18"/>
              </w:rPr>
              <w:t xml:space="preserve">   </w:t>
            </w:r>
          </w:p>
        </w:tc>
        <w:tc>
          <w:tcPr>
            <w:tcW w:w="2154"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Ansi="宋体"/>
                <w:sz w:val="18"/>
                <w:szCs w:val="18"/>
              </w:rPr>
            </w:pPr>
            <w:r>
              <w:rPr>
                <w:rFonts w:hint="eastAsia" w:hAnsi="宋体"/>
                <w:sz w:val="18"/>
                <w:szCs w:val="18"/>
              </w:rPr>
              <w:t xml:space="preserve">  </w:t>
            </w:r>
            <w:r>
              <w:rPr>
                <w:rFonts w:hAnsi="宋体"/>
                <w:sz w:val="18"/>
                <w:szCs w:val="18"/>
              </w:rPr>
              <w:t xml:space="preserve">    </w:t>
            </w:r>
            <w:r>
              <w:rPr>
                <w:rFonts w:hint="eastAsia" w:hAnsi="宋体"/>
                <w:sz w:val="18"/>
                <w:szCs w:val="18"/>
              </w:rPr>
              <w:t xml:space="preserve">  </w:t>
            </w:r>
          </w:p>
        </w:tc>
      </w:tr>
      <w:permEnd w:id="18"/>
      <w:permEnd w:id="19"/>
      <w:permEnd w:id="20"/>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696"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Ansi="宋体"/>
                <w:sz w:val="18"/>
                <w:szCs w:val="18"/>
              </w:rPr>
            </w:pPr>
            <w:permStart w:id="21" w:edGrp="everyone" w:colFirst="1" w:colLast="1"/>
            <w:permStart w:id="22" w:edGrp="everyone" w:colFirst="2" w:colLast="2"/>
            <w:permStart w:id="23" w:edGrp="everyone" w:colFirst="3" w:colLast="3"/>
            <w:r>
              <w:rPr>
                <w:rFonts w:hint="eastAsia" w:hAnsi="宋体"/>
                <w:sz w:val="18"/>
                <w:szCs w:val="18"/>
              </w:rPr>
              <w:t>C40</w:t>
            </w:r>
          </w:p>
        </w:tc>
        <w:tc>
          <w:tcPr>
            <w:tcW w:w="2153"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Ansi="宋体"/>
                <w:sz w:val="18"/>
                <w:szCs w:val="18"/>
              </w:rPr>
            </w:pPr>
            <w:r>
              <w:rPr>
                <w:rFonts w:hint="eastAsia" w:hAnsi="宋体"/>
                <w:sz w:val="18"/>
                <w:szCs w:val="18"/>
              </w:rPr>
              <w:t xml:space="preserve"> </w:t>
            </w:r>
            <w:r>
              <w:rPr>
                <w:rFonts w:hAnsi="宋体"/>
                <w:sz w:val="18"/>
                <w:szCs w:val="18"/>
              </w:rPr>
              <w:t xml:space="preserve">   </w:t>
            </w:r>
            <w:r>
              <w:rPr>
                <w:rFonts w:hint="eastAsia" w:hAnsi="宋体"/>
                <w:sz w:val="18"/>
                <w:szCs w:val="18"/>
              </w:rPr>
              <w:t xml:space="preserve">   </w:t>
            </w:r>
          </w:p>
        </w:tc>
        <w:tc>
          <w:tcPr>
            <w:tcW w:w="2153"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Ansi="宋体"/>
                <w:sz w:val="18"/>
                <w:szCs w:val="18"/>
              </w:rPr>
            </w:pPr>
            <w:r>
              <w:rPr>
                <w:rFonts w:hint="eastAsia" w:hAnsi="宋体"/>
                <w:sz w:val="18"/>
                <w:szCs w:val="18"/>
              </w:rPr>
              <w:t xml:space="preserve">  </w:t>
            </w:r>
            <w:r>
              <w:rPr>
                <w:rFonts w:hAnsi="宋体"/>
                <w:sz w:val="18"/>
                <w:szCs w:val="18"/>
              </w:rPr>
              <w:t xml:space="preserve">   </w:t>
            </w:r>
            <w:r>
              <w:rPr>
                <w:rFonts w:hint="eastAsia" w:hAnsi="宋体"/>
                <w:sz w:val="18"/>
                <w:szCs w:val="18"/>
              </w:rPr>
              <w:t xml:space="preserve">  </w:t>
            </w:r>
          </w:p>
        </w:tc>
        <w:tc>
          <w:tcPr>
            <w:tcW w:w="2154"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Ansi="宋体"/>
                <w:sz w:val="18"/>
                <w:szCs w:val="18"/>
              </w:rPr>
            </w:pPr>
            <w:r>
              <w:rPr>
                <w:rFonts w:hint="eastAsia" w:hAnsi="宋体"/>
                <w:sz w:val="18"/>
                <w:szCs w:val="18"/>
              </w:rPr>
              <w:t xml:space="preserve">  </w:t>
            </w:r>
            <w:r>
              <w:rPr>
                <w:rFonts w:hAnsi="宋体"/>
                <w:sz w:val="18"/>
                <w:szCs w:val="18"/>
              </w:rPr>
              <w:t xml:space="preserve">    </w:t>
            </w:r>
            <w:r>
              <w:rPr>
                <w:rFonts w:hint="eastAsia" w:hAnsi="宋体"/>
                <w:sz w:val="18"/>
                <w:szCs w:val="18"/>
              </w:rPr>
              <w:t xml:space="preserve">  </w:t>
            </w:r>
          </w:p>
        </w:tc>
      </w:tr>
      <w:permEnd w:id="21"/>
      <w:permEnd w:id="22"/>
      <w:permEnd w:id="23"/>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3849" w:type="dxa"/>
            <w:gridSpan w:val="2"/>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Ansi="宋体"/>
                <w:sz w:val="18"/>
                <w:szCs w:val="18"/>
              </w:rPr>
            </w:pPr>
            <w:r>
              <w:rPr>
                <w:rFonts w:hint="eastAsia" w:hAnsi="宋体"/>
                <w:sz w:val="18"/>
                <w:szCs w:val="18"/>
              </w:rPr>
              <w:t>总价（元）</w:t>
            </w:r>
          </w:p>
        </w:tc>
        <w:tc>
          <w:tcPr>
            <w:tcW w:w="4307" w:type="dxa"/>
            <w:gridSpan w:val="2"/>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Ansi="宋体"/>
                <w:sz w:val="18"/>
                <w:szCs w:val="18"/>
                <w:u w:val="single"/>
              </w:rPr>
            </w:pPr>
            <w:r>
              <w:rPr>
                <w:rFonts w:hint="eastAsia" w:hAnsi="宋体"/>
                <w:sz w:val="18"/>
                <w:szCs w:val="18"/>
                <w:u w:val="single"/>
              </w:rPr>
              <w:t xml:space="preserve"> </w:t>
            </w:r>
            <w:permStart w:id="24" w:edGrp="everyone"/>
            <w:r>
              <w:rPr>
                <w:rFonts w:hint="eastAsia" w:hAnsi="宋体"/>
                <w:sz w:val="18"/>
                <w:szCs w:val="18"/>
                <w:u w:val="single"/>
              </w:rPr>
              <w:t xml:space="preserve"> </w:t>
            </w:r>
            <w:r>
              <w:rPr>
                <w:rFonts w:hAnsi="宋体"/>
                <w:sz w:val="18"/>
                <w:szCs w:val="18"/>
                <w:u w:val="single"/>
              </w:rPr>
              <w:t xml:space="preserve">          </w:t>
            </w:r>
            <w:r>
              <w:rPr>
                <w:rFonts w:hint="eastAsia" w:hAnsi="宋体"/>
                <w:sz w:val="18"/>
                <w:szCs w:val="18"/>
                <w:u w:val="single"/>
              </w:rPr>
              <w:t xml:space="preserve">  </w:t>
            </w:r>
            <w:permEnd w:id="2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8156" w:type="dxa"/>
            <w:gridSpan w:val="4"/>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Ansi="宋体"/>
                <w:sz w:val="18"/>
                <w:szCs w:val="18"/>
              </w:rPr>
            </w:pPr>
            <w:r>
              <w:rPr>
                <w:rFonts w:hint="eastAsia" w:hAnsi="宋体"/>
                <w:sz w:val="18"/>
                <w:szCs w:val="18"/>
              </w:rPr>
              <w:t>备注：以上价格为送到施工现场内的终端价格，价格含泵送费。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3" w:hRule="atLeast"/>
          <w:jc w:val="center"/>
        </w:trPr>
        <w:tc>
          <w:tcPr>
            <w:tcW w:w="1696"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Ansi="宋体"/>
                <w:sz w:val="18"/>
                <w:szCs w:val="18"/>
              </w:rPr>
            </w:pPr>
            <w:r>
              <w:rPr>
                <w:rFonts w:hint="eastAsia" w:hAnsi="宋体"/>
                <w:sz w:val="18"/>
                <w:szCs w:val="18"/>
              </w:rPr>
              <w:t>特种混凝土</w:t>
            </w:r>
          </w:p>
        </w:tc>
        <w:tc>
          <w:tcPr>
            <w:tcW w:w="6460" w:type="dxa"/>
            <w:gridSpan w:val="3"/>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Ansi="宋体"/>
                <w:sz w:val="18"/>
                <w:szCs w:val="18"/>
              </w:rPr>
            </w:pPr>
            <w:r>
              <w:rPr>
                <w:rFonts w:hint="eastAsia" w:hAnsi="宋体"/>
                <w:sz w:val="18"/>
                <w:szCs w:val="18"/>
              </w:rPr>
              <w:t>1、抗渗混凝土在原标号价格上加：P6：</w:t>
            </w:r>
            <w:permStart w:id="25" w:edGrp="everyone"/>
            <w:r>
              <w:rPr>
                <w:rFonts w:hint="eastAsia" w:hAnsi="宋体"/>
                <w:sz w:val="18"/>
                <w:szCs w:val="18"/>
                <w:u w:val="single"/>
              </w:rPr>
              <w:t xml:space="preserve"> </w:t>
            </w:r>
            <w:r>
              <w:rPr>
                <w:rFonts w:hAnsi="宋体"/>
                <w:sz w:val="18"/>
                <w:szCs w:val="18"/>
                <w:u w:val="single"/>
              </w:rPr>
              <w:t xml:space="preserve"> </w:t>
            </w:r>
            <w:r>
              <w:rPr>
                <w:rFonts w:hint="eastAsia" w:hAnsi="宋体"/>
                <w:sz w:val="18"/>
                <w:szCs w:val="18"/>
                <w:u w:val="single"/>
                <w:lang w:val="en-US" w:eastAsia="zh-CN"/>
              </w:rPr>
              <w:t xml:space="preserve">   </w:t>
            </w:r>
            <w:r>
              <w:rPr>
                <w:rFonts w:hAnsi="宋体"/>
                <w:sz w:val="18"/>
                <w:szCs w:val="18"/>
                <w:u w:val="single"/>
              </w:rPr>
              <w:t xml:space="preserve"> </w:t>
            </w:r>
            <w:r>
              <w:rPr>
                <w:rFonts w:hint="eastAsia" w:hAnsi="宋体"/>
                <w:sz w:val="18"/>
                <w:szCs w:val="18"/>
                <w:u w:val="single"/>
              </w:rPr>
              <w:t xml:space="preserve"> </w:t>
            </w:r>
            <w:permEnd w:id="25"/>
            <w:r>
              <w:rPr>
                <w:rFonts w:hint="eastAsia" w:hAnsi="宋体"/>
                <w:sz w:val="18"/>
                <w:szCs w:val="18"/>
              </w:rPr>
              <w:t>元/</w:t>
            </w:r>
            <w:r>
              <w:rPr>
                <w:rFonts w:ascii="Arial" w:hAnsi="Arial" w:cs="Arial"/>
                <w:sz w:val="18"/>
                <w:szCs w:val="18"/>
              </w:rPr>
              <w:t>m</w:t>
            </w:r>
            <w:r>
              <w:rPr>
                <w:rFonts w:ascii="Arial" w:hAnsi="Arial" w:cs="Arial"/>
                <w:sz w:val="18"/>
                <w:szCs w:val="18"/>
                <w:vertAlign w:val="superscript"/>
              </w:rPr>
              <w:t>3</w:t>
            </w:r>
            <w:r>
              <w:rPr>
                <w:rFonts w:hint="eastAsia" w:hAnsi="宋体"/>
                <w:sz w:val="18"/>
                <w:szCs w:val="18"/>
              </w:rPr>
              <w:t>，P8：</w:t>
            </w:r>
            <w:permStart w:id="26" w:edGrp="everyone"/>
            <w:r>
              <w:rPr>
                <w:rFonts w:hint="eastAsia" w:hAnsi="宋体"/>
                <w:sz w:val="18"/>
                <w:szCs w:val="18"/>
                <w:u w:val="single"/>
              </w:rPr>
              <w:t xml:space="preserve"> </w:t>
            </w:r>
            <w:r>
              <w:rPr>
                <w:rFonts w:hAnsi="宋体"/>
                <w:sz w:val="18"/>
                <w:szCs w:val="18"/>
                <w:u w:val="single"/>
              </w:rPr>
              <w:t xml:space="preserve"> </w:t>
            </w:r>
            <w:r>
              <w:rPr>
                <w:rFonts w:hint="eastAsia" w:hAnsi="宋体"/>
                <w:sz w:val="18"/>
                <w:szCs w:val="18"/>
                <w:u w:val="single"/>
                <w:lang w:val="en-US" w:eastAsia="zh-CN"/>
              </w:rPr>
              <w:t xml:space="preserve"> </w:t>
            </w:r>
            <w:r>
              <w:rPr>
                <w:rFonts w:hAnsi="宋体"/>
                <w:sz w:val="18"/>
                <w:szCs w:val="18"/>
                <w:u w:val="single"/>
              </w:rPr>
              <w:t xml:space="preserve"> </w:t>
            </w:r>
            <w:r>
              <w:rPr>
                <w:rFonts w:hint="eastAsia" w:hAnsi="宋体"/>
                <w:sz w:val="18"/>
                <w:szCs w:val="18"/>
                <w:u w:val="single"/>
                <w:lang w:val="en-US" w:eastAsia="zh-CN"/>
              </w:rPr>
              <w:t xml:space="preserve">  </w:t>
            </w:r>
            <w:r>
              <w:rPr>
                <w:rFonts w:hAnsi="宋体"/>
                <w:sz w:val="18"/>
                <w:szCs w:val="18"/>
                <w:u w:val="single"/>
              </w:rPr>
              <w:t xml:space="preserve"> </w:t>
            </w:r>
            <w:permEnd w:id="26"/>
            <w:r>
              <w:rPr>
                <w:rFonts w:hint="eastAsia" w:hAnsi="宋体"/>
                <w:sz w:val="18"/>
                <w:szCs w:val="18"/>
              </w:rPr>
              <w:t>元/</w:t>
            </w:r>
            <w:r>
              <w:rPr>
                <w:rFonts w:ascii="Arial" w:hAnsi="Arial" w:cs="Arial"/>
                <w:sz w:val="18"/>
                <w:szCs w:val="18"/>
              </w:rPr>
              <w:t>m</w:t>
            </w:r>
            <w:r>
              <w:rPr>
                <w:rFonts w:ascii="Arial" w:hAnsi="Arial" w:cs="Arial"/>
                <w:sz w:val="18"/>
                <w:szCs w:val="18"/>
                <w:vertAlign w:val="superscript"/>
              </w:rPr>
              <w:t>3</w:t>
            </w:r>
            <w:r>
              <w:rPr>
                <w:rFonts w:hint="eastAsia" w:hAnsi="宋体"/>
                <w:sz w:val="18"/>
                <w:szCs w:val="18"/>
              </w:rPr>
              <w:t>。</w:t>
            </w:r>
          </w:p>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Ansi="宋体"/>
                <w:sz w:val="18"/>
                <w:szCs w:val="18"/>
              </w:rPr>
            </w:pPr>
            <w:r>
              <w:rPr>
                <w:rFonts w:hint="eastAsia" w:hAnsi="宋体"/>
                <w:sz w:val="18"/>
                <w:szCs w:val="18"/>
              </w:rPr>
              <w:t>2、早强混凝土在原标号上加：</w:t>
            </w:r>
            <w:permStart w:id="27" w:edGrp="everyone"/>
            <w:r>
              <w:rPr>
                <w:rFonts w:hint="eastAsia" w:hAnsi="宋体"/>
                <w:sz w:val="18"/>
                <w:szCs w:val="18"/>
                <w:u w:val="single"/>
              </w:rPr>
              <w:t xml:space="preserve"> </w:t>
            </w:r>
            <w:r>
              <w:rPr>
                <w:rFonts w:hAnsi="宋体"/>
                <w:sz w:val="18"/>
                <w:szCs w:val="18"/>
                <w:u w:val="single"/>
              </w:rPr>
              <w:t xml:space="preserve"> </w:t>
            </w:r>
            <w:r>
              <w:rPr>
                <w:rFonts w:hint="eastAsia" w:hAnsi="宋体"/>
                <w:sz w:val="18"/>
                <w:szCs w:val="18"/>
                <w:u w:val="single"/>
                <w:lang w:val="en-US" w:eastAsia="zh-CN"/>
              </w:rPr>
              <w:t xml:space="preserve">   </w:t>
            </w:r>
            <w:r>
              <w:rPr>
                <w:rFonts w:hAnsi="宋体"/>
                <w:sz w:val="18"/>
                <w:szCs w:val="18"/>
                <w:u w:val="single"/>
              </w:rPr>
              <w:t xml:space="preserve"> </w:t>
            </w:r>
            <w:r>
              <w:rPr>
                <w:rFonts w:hint="eastAsia" w:hAnsi="宋体"/>
                <w:sz w:val="18"/>
                <w:szCs w:val="18"/>
                <w:u w:val="single"/>
              </w:rPr>
              <w:t xml:space="preserve"> </w:t>
            </w:r>
            <w:permEnd w:id="27"/>
            <w:r>
              <w:rPr>
                <w:rFonts w:hint="eastAsia" w:hAnsi="宋体"/>
                <w:sz w:val="18"/>
                <w:szCs w:val="18"/>
              </w:rPr>
              <w:t>元/</w:t>
            </w:r>
            <w:r>
              <w:rPr>
                <w:rFonts w:ascii="Arial" w:hAnsi="Arial" w:cs="Arial"/>
                <w:sz w:val="18"/>
                <w:szCs w:val="18"/>
              </w:rPr>
              <w:t>m</w:t>
            </w:r>
            <w:r>
              <w:rPr>
                <w:rFonts w:ascii="Arial" w:hAnsi="Arial" w:cs="Arial"/>
                <w:sz w:val="18"/>
                <w:szCs w:val="18"/>
                <w:vertAlign w:val="superscript"/>
              </w:rPr>
              <w:t>3</w:t>
            </w:r>
            <w:r>
              <w:rPr>
                <w:rFonts w:hint="eastAsia" w:hAnsi="宋体"/>
                <w:sz w:val="18"/>
                <w:szCs w:val="18"/>
              </w:rPr>
              <w:t>。</w:t>
            </w:r>
          </w:p>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Ansi="宋体"/>
                <w:sz w:val="18"/>
                <w:szCs w:val="18"/>
              </w:rPr>
            </w:pPr>
            <w:r>
              <w:rPr>
                <w:rFonts w:hint="eastAsia" w:hAnsi="宋体"/>
                <w:sz w:val="18"/>
                <w:szCs w:val="18"/>
              </w:rPr>
              <w:t>3、细石混凝土在原标号上加：</w:t>
            </w:r>
            <w:permStart w:id="28" w:edGrp="everyone"/>
            <w:r>
              <w:rPr>
                <w:rFonts w:hint="eastAsia" w:hAnsi="宋体"/>
                <w:sz w:val="18"/>
                <w:szCs w:val="18"/>
                <w:u w:val="single"/>
              </w:rPr>
              <w:t xml:space="preserve"> </w:t>
            </w:r>
            <w:r>
              <w:rPr>
                <w:rFonts w:hint="eastAsia" w:hAnsi="宋体"/>
                <w:sz w:val="18"/>
                <w:szCs w:val="18"/>
                <w:u w:val="single"/>
                <w:lang w:val="en-US" w:eastAsia="zh-CN"/>
              </w:rPr>
              <w:t xml:space="preserve">   </w:t>
            </w:r>
            <w:r>
              <w:rPr>
                <w:rFonts w:hAnsi="宋体"/>
                <w:sz w:val="18"/>
                <w:szCs w:val="18"/>
                <w:u w:val="single"/>
              </w:rPr>
              <w:t xml:space="preserve">  </w:t>
            </w:r>
            <w:r>
              <w:rPr>
                <w:rFonts w:hint="eastAsia" w:hAnsi="宋体"/>
                <w:sz w:val="18"/>
                <w:szCs w:val="18"/>
                <w:u w:val="single"/>
              </w:rPr>
              <w:t xml:space="preserve"> </w:t>
            </w:r>
            <w:permEnd w:id="28"/>
            <w:r>
              <w:rPr>
                <w:rFonts w:hint="eastAsia" w:hAnsi="宋体"/>
                <w:sz w:val="18"/>
                <w:szCs w:val="18"/>
              </w:rPr>
              <w:t>元/</w:t>
            </w:r>
            <w:r>
              <w:rPr>
                <w:rFonts w:ascii="Arial" w:hAnsi="Arial" w:cs="Arial"/>
                <w:sz w:val="18"/>
                <w:szCs w:val="18"/>
              </w:rPr>
              <w:t>m</w:t>
            </w:r>
            <w:r>
              <w:rPr>
                <w:rFonts w:ascii="Arial" w:hAnsi="Arial" w:cs="Arial"/>
                <w:sz w:val="18"/>
                <w:szCs w:val="18"/>
                <w:vertAlign w:val="superscript"/>
              </w:rPr>
              <w:t>3</w:t>
            </w:r>
            <w:r>
              <w:rPr>
                <w:rFonts w:hint="eastAsia" w:hAnsi="宋体"/>
                <w:sz w:val="18"/>
                <w:szCs w:val="18"/>
              </w:rPr>
              <w:t>。</w:t>
            </w:r>
          </w:p>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Ansi="宋体"/>
                <w:sz w:val="18"/>
                <w:szCs w:val="18"/>
              </w:rPr>
            </w:pPr>
            <w:r>
              <w:rPr>
                <w:rFonts w:hint="eastAsia" w:hAnsi="宋体"/>
                <w:sz w:val="18"/>
                <w:szCs w:val="18"/>
              </w:rPr>
              <w:t>4、道路混凝土在原标号上加：</w:t>
            </w:r>
            <w:permStart w:id="29" w:edGrp="everyone"/>
            <w:r>
              <w:rPr>
                <w:rFonts w:hint="eastAsia" w:hAnsi="宋体"/>
                <w:sz w:val="18"/>
                <w:szCs w:val="18"/>
                <w:u w:val="single"/>
              </w:rPr>
              <w:t xml:space="preserve"> </w:t>
            </w:r>
            <w:r>
              <w:rPr>
                <w:rFonts w:hAnsi="宋体"/>
                <w:sz w:val="18"/>
                <w:szCs w:val="18"/>
                <w:u w:val="single"/>
              </w:rPr>
              <w:t xml:space="preserve">  </w:t>
            </w:r>
            <w:r>
              <w:rPr>
                <w:rFonts w:hint="eastAsia" w:hAnsi="宋体"/>
                <w:sz w:val="18"/>
                <w:szCs w:val="18"/>
                <w:u w:val="single"/>
                <w:lang w:val="en-US" w:eastAsia="zh-CN"/>
              </w:rPr>
              <w:t xml:space="preserve">   </w:t>
            </w:r>
            <w:r>
              <w:rPr>
                <w:rFonts w:hint="eastAsia" w:hAnsi="宋体"/>
                <w:sz w:val="18"/>
                <w:szCs w:val="18"/>
                <w:u w:val="single"/>
              </w:rPr>
              <w:t xml:space="preserve"> </w:t>
            </w:r>
            <w:permEnd w:id="29"/>
            <w:r>
              <w:rPr>
                <w:rFonts w:hint="eastAsia" w:hAnsi="宋体"/>
                <w:sz w:val="18"/>
                <w:szCs w:val="18"/>
              </w:rPr>
              <w:t>元/</w:t>
            </w:r>
            <w:r>
              <w:rPr>
                <w:rFonts w:ascii="Arial" w:hAnsi="Arial" w:cs="Arial"/>
                <w:sz w:val="18"/>
                <w:szCs w:val="18"/>
              </w:rPr>
              <w:t>m</w:t>
            </w:r>
            <w:r>
              <w:rPr>
                <w:rFonts w:ascii="Arial" w:hAnsi="Arial" w:cs="Arial"/>
                <w:sz w:val="18"/>
                <w:szCs w:val="18"/>
                <w:vertAlign w:val="superscript"/>
              </w:rPr>
              <w:t>3</w:t>
            </w:r>
            <w:r>
              <w:rPr>
                <w:rFonts w:hint="eastAsia" w:hAnsi="宋体"/>
                <w:sz w:val="18"/>
                <w:szCs w:val="18"/>
              </w:rPr>
              <w:t>。</w:t>
            </w:r>
          </w:p>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Ansi="宋体"/>
                <w:sz w:val="18"/>
                <w:szCs w:val="18"/>
              </w:rPr>
            </w:pPr>
            <w:r>
              <w:rPr>
                <w:rFonts w:hint="eastAsia" w:hAnsi="宋体"/>
                <w:sz w:val="18"/>
                <w:szCs w:val="18"/>
              </w:rPr>
              <w:t>5、泵送混凝土润管砂浆与当批次混凝土同价。</w:t>
            </w:r>
          </w:p>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Ansi="宋体"/>
                <w:sz w:val="18"/>
                <w:szCs w:val="18"/>
              </w:rPr>
            </w:pPr>
            <w:r>
              <w:rPr>
                <w:rFonts w:hint="eastAsia" w:hAnsi="宋体"/>
                <w:sz w:val="18"/>
                <w:szCs w:val="18"/>
              </w:rPr>
              <w:t>6、其他混凝土价格再议。</w:t>
            </w:r>
          </w:p>
        </w:tc>
      </w:tr>
    </w:tbl>
    <w:p>
      <w:pPr>
        <w:keepNext w:val="0"/>
        <w:keepLines w:val="0"/>
        <w:pageBreakBefore w:val="0"/>
        <w:widowControl w:val="0"/>
        <w:kinsoku/>
        <w:wordWrap/>
        <w:overflowPunct/>
        <w:topLinePunct w:val="0"/>
        <w:autoSpaceDE/>
        <w:autoSpaceDN/>
        <w:bidi w:val="0"/>
        <w:adjustRightInd/>
        <w:snapToGrid/>
        <w:spacing w:line="240" w:lineRule="auto"/>
        <w:ind w:firstLine="422"/>
        <w:textAlignment w:val="auto"/>
        <w:rPr>
          <w:b/>
          <w:sz w:val="18"/>
          <w:szCs w:val="18"/>
        </w:rPr>
      </w:pPr>
      <w:r>
        <w:rPr>
          <w:rFonts w:hint="eastAsia"/>
          <w:b/>
          <w:sz w:val="18"/>
          <w:szCs w:val="18"/>
        </w:rPr>
        <w:t>第二条  质量要求、技术标准、乙方对质量负责的条件</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u w:val="single"/>
        </w:rPr>
      </w:pPr>
      <w:r>
        <w:rPr>
          <w:rFonts w:hint="eastAsia"/>
          <w:sz w:val="18"/>
          <w:szCs w:val="18"/>
          <w:u w:val="single"/>
        </w:rPr>
        <w:t>1、乙方按照GB/T14902-2003《预拌混凝土》、 GB50164-2011《混凝土质量控制标准》标准所规定的质量要求组织供货，混凝土强度等级满足设计要求，水泥品种和强度等级、砂和石以及混凝土外加剂质量符合国家相关规定要求，混凝土的初凝时间及终凝时间符合混凝土运输及浇筑时间要求，运送到工地混凝土的坍落度、和易性、粘聚性、保水性应满足混凝土施工配合比的要求；同时应提供有效混凝土配合比，原材料的检验报告原件等质量证明资料。</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u w:val="single"/>
        </w:rPr>
      </w:pPr>
      <w:r>
        <w:rPr>
          <w:rFonts w:hint="eastAsia"/>
          <w:sz w:val="18"/>
          <w:szCs w:val="18"/>
          <w:u w:val="single"/>
        </w:rPr>
        <w:t>2、乙方提供混凝士质量标准：JGJ55-2011《普通混凝土设计配合比设计规程》、 JGJ/T10-2011《混凝土泵送技术规范》、DBJ188-2011《预拌混凝土生产及施工技术规程》，乙方所提供的混凝土强度的试验结果以GBT50107-2010《混凝土强度检验标准》为准，使用P.042.5普通水泥并执行国家标准GB175—2007《硅酸盐水泥、普通硅酸盐水泥》。</w:t>
      </w:r>
    </w:p>
    <w:p>
      <w:pPr>
        <w:keepNext w:val="0"/>
        <w:keepLines w:val="0"/>
        <w:pageBreakBefore w:val="0"/>
        <w:widowControl w:val="0"/>
        <w:kinsoku/>
        <w:wordWrap/>
        <w:overflowPunct/>
        <w:topLinePunct w:val="0"/>
        <w:autoSpaceDE/>
        <w:autoSpaceDN/>
        <w:bidi w:val="0"/>
        <w:adjustRightInd/>
        <w:snapToGrid/>
        <w:spacing w:line="240" w:lineRule="auto"/>
        <w:ind w:firstLine="422"/>
        <w:textAlignment w:val="auto"/>
        <w:rPr>
          <w:b/>
          <w:sz w:val="18"/>
          <w:szCs w:val="18"/>
        </w:rPr>
      </w:pPr>
      <w:r>
        <w:rPr>
          <w:rFonts w:hint="eastAsia"/>
          <w:b/>
          <w:sz w:val="18"/>
          <w:szCs w:val="18"/>
        </w:rPr>
        <w:t>第三条  交货方法、运输方式、运费承担、到货地点</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1、交货方法：</w:t>
      </w:r>
      <w:r>
        <w:rPr>
          <w:rFonts w:hint="eastAsia"/>
          <w:sz w:val="18"/>
          <w:szCs w:val="18"/>
          <w:u w:val="single"/>
        </w:rPr>
        <w:t>所有商品混凝土由供方送往供需双方共同约定的交货地点，价格含运输费用、装卸费用和搬运费用或所需运输费用由供方承担</w:t>
      </w:r>
      <w:r>
        <w:rPr>
          <w:rFonts w:hint="eastAsia"/>
          <w:sz w:val="18"/>
          <w:szCs w:val="18"/>
        </w:rPr>
        <w:t>。</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2、运输方式：</w:t>
      </w:r>
      <w:r>
        <w:rPr>
          <w:rFonts w:hint="eastAsia"/>
          <w:sz w:val="18"/>
          <w:szCs w:val="18"/>
          <w:u w:val="single"/>
        </w:rPr>
        <w:t xml:space="preserve">  由乙方</w:t>
      </w:r>
      <w:r>
        <w:rPr>
          <w:sz w:val="18"/>
          <w:szCs w:val="18"/>
          <w:u w:val="single"/>
        </w:rPr>
        <w:t>指定泵车运输</w:t>
      </w:r>
      <w:r>
        <w:rPr>
          <w:rFonts w:hint="eastAsia"/>
          <w:sz w:val="18"/>
          <w:szCs w:val="18"/>
          <w:u w:val="single"/>
        </w:rPr>
        <w:t xml:space="preserve">  </w:t>
      </w:r>
      <w:r>
        <w:rPr>
          <w:rFonts w:hint="eastAsia"/>
          <w:sz w:val="18"/>
          <w:szCs w:val="18"/>
        </w:rPr>
        <w:t>。</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3、到货地点：</w:t>
      </w:r>
      <w:r>
        <w:rPr>
          <w:rFonts w:hint="eastAsia"/>
          <w:sz w:val="18"/>
          <w:szCs w:val="18"/>
          <w:u w:val="single"/>
        </w:rPr>
        <w:t xml:space="preserve"> </w:t>
      </w:r>
      <w:permStart w:id="30" w:edGrp="everyone"/>
      <w:r>
        <w:rPr>
          <w:rFonts w:hint="eastAsia"/>
          <w:sz w:val="18"/>
          <w:szCs w:val="18"/>
          <w:u w:val="single"/>
        </w:rPr>
        <w:t xml:space="preserve">                    </w:t>
      </w:r>
      <w:permEnd w:id="30"/>
      <w:r>
        <w:rPr>
          <w:rFonts w:hint="eastAsia"/>
          <w:sz w:val="18"/>
          <w:szCs w:val="18"/>
          <w:u w:val="single"/>
        </w:rPr>
        <w:t xml:space="preserve"> </w:t>
      </w:r>
      <w:r>
        <w:rPr>
          <w:rFonts w:hint="eastAsia"/>
          <w:sz w:val="18"/>
          <w:szCs w:val="18"/>
        </w:rPr>
        <w:t>。</w:t>
      </w:r>
    </w:p>
    <w:p>
      <w:pPr>
        <w:keepNext w:val="0"/>
        <w:keepLines w:val="0"/>
        <w:pageBreakBefore w:val="0"/>
        <w:widowControl w:val="0"/>
        <w:kinsoku/>
        <w:wordWrap/>
        <w:overflowPunct/>
        <w:topLinePunct w:val="0"/>
        <w:autoSpaceDE/>
        <w:autoSpaceDN/>
        <w:bidi w:val="0"/>
        <w:adjustRightInd/>
        <w:snapToGrid/>
        <w:spacing w:line="240" w:lineRule="auto"/>
        <w:ind w:firstLine="422"/>
        <w:textAlignment w:val="auto"/>
        <w:rPr>
          <w:b/>
          <w:sz w:val="18"/>
          <w:szCs w:val="18"/>
        </w:rPr>
      </w:pPr>
      <w:r>
        <w:rPr>
          <w:rFonts w:hint="eastAsia"/>
          <w:b/>
          <w:sz w:val="18"/>
          <w:szCs w:val="18"/>
        </w:rPr>
        <w:t>第四条  运输方式及到达站港和费用负担</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1、订货方式：</w:t>
      </w:r>
      <w:r>
        <w:rPr>
          <w:rFonts w:hint="eastAsia"/>
          <w:sz w:val="18"/>
          <w:szCs w:val="18"/>
          <w:u w:val="single"/>
        </w:rPr>
        <w:t>自签约之日起，随工程进度需要乙方按照甲方要求按时按质供应混凝土。在每批次混凝土供应的24小时前，甲方应将浇筑计划传真（或电话）通知乙方，说明混凝土强度等级、浇筑部位、数量、坍落度，是否泵送施工、浇筑时间及其他特殊要求，便于乙方做好混凝土生产准备工作</w:t>
      </w:r>
      <w:r>
        <w:rPr>
          <w:rFonts w:hint="eastAsia"/>
          <w:sz w:val="18"/>
          <w:szCs w:val="18"/>
        </w:rPr>
        <w:t>。</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2、由乙方送货到达甲方指定地点，其运、装、卸及全过程费用包含在材料单价内。</w:t>
      </w:r>
    </w:p>
    <w:p>
      <w:pPr>
        <w:keepNext w:val="0"/>
        <w:keepLines w:val="0"/>
        <w:pageBreakBefore w:val="0"/>
        <w:widowControl w:val="0"/>
        <w:kinsoku/>
        <w:wordWrap/>
        <w:overflowPunct/>
        <w:topLinePunct w:val="0"/>
        <w:autoSpaceDE/>
        <w:autoSpaceDN/>
        <w:bidi w:val="0"/>
        <w:adjustRightInd/>
        <w:snapToGrid/>
        <w:spacing w:line="240" w:lineRule="auto"/>
        <w:ind w:firstLine="422"/>
        <w:textAlignment w:val="auto"/>
        <w:rPr>
          <w:b/>
          <w:sz w:val="18"/>
          <w:szCs w:val="18"/>
        </w:rPr>
      </w:pPr>
      <w:r>
        <w:rPr>
          <w:rFonts w:hint="eastAsia"/>
          <w:b/>
          <w:sz w:val="18"/>
          <w:szCs w:val="18"/>
        </w:rPr>
        <w:t>第五条  计量及结算方法</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1、按乙方货物进场经甲方人员签收的《送货单》计算混凝土量。甲方有权核查混凝土数量的准确性，每批次以甲方抽查三车以上混凝土的差异平均率（差异平均率=（Σ抽查量-Σ送货单量）/Σ送货单量*100%）作为依据（可以采取过磅或者双方认可的其他方式），若差异平均率超过-2%，除过磅费由乙方承担外，该批次供应的混凝土结算量＝Σ送货单量*（1－|差异平均率|）。</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2、每月20日甲乙双方核对当月的供货数量及金额并签字确认。经双方确认后的《商品混凝土供货确认单》作为双方办理结算混凝土货款的依据。</w:t>
      </w:r>
    </w:p>
    <w:p>
      <w:pPr>
        <w:keepNext w:val="0"/>
        <w:keepLines w:val="0"/>
        <w:pageBreakBefore w:val="0"/>
        <w:widowControl w:val="0"/>
        <w:kinsoku/>
        <w:wordWrap/>
        <w:overflowPunct/>
        <w:topLinePunct w:val="0"/>
        <w:autoSpaceDE/>
        <w:autoSpaceDN/>
        <w:bidi w:val="0"/>
        <w:adjustRightInd/>
        <w:snapToGrid/>
        <w:spacing w:line="240" w:lineRule="auto"/>
        <w:ind w:firstLine="422"/>
        <w:textAlignment w:val="auto"/>
        <w:rPr>
          <w:b/>
          <w:sz w:val="18"/>
          <w:szCs w:val="18"/>
        </w:rPr>
      </w:pPr>
      <w:r>
        <w:rPr>
          <w:rFonts w:hint="eastAsia"/>
          <w:b/>
          <w:sz w:val="18"/>
          <w:szCs w:val="18"/>
        </w:rPr>
        <w:t>第</w:t>
      </w:r>
      <w:r>
        <w:rPr>
          <w:rFonts w:hint="eastAsia"/>
          <w:b/>
          <w:sz w:val="18"/>
          <w:szCs w:val="18"/>
          <w:lang w:eastAsia="zh-CN"/>
        </w:rPr>
        <w:t>六</w:t>
      </w:r>
      <w:r>
        <w:rPr>
          <w:rFonts w:hint="eastAsia"/>
          <w:b/>
          <w:sz w:val="18"/>
          <w:szCs w:val="18"/>
        </w:rPr>
        <w:t>条  发票开具</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1、</w:t>
      </w:r>
      <w:r>
        <w:rPr>
          <w:rFonts w:hint="eastAsia"/>
          <w:color w:val="000000"/>
          <w:sz w:val="18"/>
          <w:szCs w:val="18"/>
        </w:rPr>
        <w:t>甲乙双方开票信息</w:t>
      </w:r>
    </w:p>
    <w:tbl>
      <w:tblPr>
        <w:tblStyle w:val="5"/>
        <w:tblW w:w="90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55"/>
        <w:gridCol w:w="3756"/>
        <w:gridCol w:w="37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vAlign w:val="top"/>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18"/>
                <w:szCs w:val="18"/>
              </w:rPr>
            </w:pPr>
          </w:p>
        </w:tc>
        <w:tc>
          <w:tcPr>
            <w:tcW w:w="3756" w:type="dxa"/>
            <w:vAlign w:val="top"/>
          </w:tcPr>
          <w:p>
            <w:pPr>
              <w:keepNext w:val="0"/>
              <w:keepLines w:val="0"/>
              <w:pageBreakBefore w:val="0"/>
              <w:kinsoku/>
              <w:wordWrap/>
              <w:overflowPunct/>
              <w:topLinePunct w:val="0"/>
              <w:autoSpaceDE/>
              <w:autoSpaceDN/>
              <w:bidi w:val="0"/>
              <w:adjustRightInd/>
              <w:snapToGrid/>
              <w:spacing w:line="280" w:lineRule="exact"/>
              <w:ind w:firstLine="0" w:firstLineChars="0"/>
              <w:textAlignment w:val="auto"/>
              <w:rPr>
                <w:sz w:val="18"/>
                <w:szCs w:val="18"/>
              </w:rPr>
            </w:pPr>
            <w:r>
              <w:rPr>
                <w:rFonts w:hint="eastAsia"/>
                <w:sz w:val="18"/>
                <w:szCs w:val="18"/>
              </w:rPr>
              <w:t>甲方</w:t>
            </w:r>
          </w:p>
        </w:tc>
        <w:tc>
          <w:tcPr>
            <w:tcW w:w="3756" w:type="dxa"/>
            <w:vAlign w:val="top"/>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18"/>
                <w:szCs w:val="18"/>
              </w:rPr>
            </w:pPr>
            <w:r>
              <w:rPr>
                <w:rFonts w:hint="eastAsia"/>
                <w:sz w:val="18"/>
                <w:szCs w:val="18"/>
              </w:rPr>
              <w:t>乙方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vAlign w:val="top"/>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18"/>
                <w:szCs w:val="18"/>
              </w:rPr>
            </w:pPr>
            <w:permStart w:id="31" w:edGrp="everyone" w:colFirst="2" w:colLast="2"/>
            <w:r>
              <w:rPr>
                <w:rFonts w:hint="eastAsia"/>
                <w:sz w:val="18"/>
                <w:szCs w:val="18"/>
              </w:rPr>
              <w:t>单位名称</w:t>
            </w:r>
          </w:p>
        </w:tc>
        <w:tc>
          <w:tcPr>
            <w:tcW w:w="3756" w:type="dxa"/>
            <w:vAlign w:val="top"/>
          </w:tcPr>
          <w:p>
            <w:pPr>
              <w:keepNext w:val="0"/>
              <w:keepLines w:val="0"/>
              <w:pageBreakBefore w:val="0"/>
              <w:kinsoku/>
              <w:wordWrap/>
              <w:overflowPunct/>
              <w:topLinePunct w:val="0"/>
              <w:autoSpaceDE/>
              <w:autoSpaceDN/>
              <w:bidi w:val="0"/>
              <w:adjustRightInd/>
              <w:snapToGrid/>
              <w:spacing w:line="280" w:lineRule="exact"/>
              <w:ind w:firstLine="0" w:firstLineChars="0"/>
              <w:textAlignment w:val="auto"/>
              <w:rPr>
                <w:sz w:val="18"/>
                <w:szCs w:val="18"/>
              </w:rPr>
            </w:pPr>
            <w:r>
              <w:rPr>
                <w:rFonts w:hint="eastAsia" w:ascii="宋体" w:hAnsi="宋体" w:cs="宋体"/>
                <w:bCs/>
                <w:sz w:val="18"/>
                <w:szCs w:val="18"/>
                <w:lang w:eastAsia="zh-CN"/>
              </w:rPr>
              <w:t>呼和浩特市兴业建筑工程有限责任公司</w:t>
            </w:r>
          </w:p>
        </w:tc>
        <w:tc>
          <w:tcPr>
            <w:tcW w:w="3756" w:type="dxa"/>
            <w:vAlign w:val="top"/>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18"/>
                <w:szCs w:val="18"/>
              </w:rPr>
            </w:pPr>
            <w:r>
              <w:rPr>
                <w:rFonts w:hint="eastAsia"/>
                <w:sz w:val="18"/>
                <w:szCs w:val="18"/>
              </w:rPr>
              <w:t xml:space="preserve">                        </w:t>
            </w:r>
          </w:p>
        </w:tc>
      </w:tr>
      <w:permEnd w:id="31"/>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vAlign w:val="top"/>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18"/>
                <w:szCs w:val="18"/>
              </w:rPr>
            </w:pPr>
            <w:permStart w:id="32" w:edGrp="everyone" w:colFirst="2" w:colLast="2"/>
            <w:r>
              <w:rPr>
                <w:rFonts w:hint="eastAsia"/>
                <w:sz w:val="18"/>
                <w:szCs w:val="18"/>
              </w:rPr>
              <w:t>开户银行</w:t>
            </w:r>
          </w:p>
        </w:tc>
        <w:tc>
          <w:tcPr>
            <w:tcW w:w="3756" w:type="dxa"/>
            <w:vAlign w:val="top"/>
          </w:tcPr>
          <w:p>
            <w:pPr>
              <w:keepNext w:val="0"/>
              <w:keepLines w:val="0"/>
              <w:pageBreakBefore w:val="0"/>
              <w:kinsoku/>
              <w:wordWrap/>
              <w:overflowPunct/>
              <w:topLinePunct w:val="0"/>
              <w:autoSpaceDE/>
              <w:autoSpaceDN/>
              <w:bidi w:val="0"/>
              <w:adjustRightInd/>
              <w:snapToGrid/>
              <w:spacing w:line="280" w:lineRule="exact"/>
              <w:ind w:firstLine="0" w:firstLineChars="0"/>
              <w:textAlignment w:val="auto"/>
              <w:rPr>
                <w:sz w:val="18"/>
                <w:szCs w:val="18"/>
              </w:rPr>
            </w:pPr>
            <w:r>
              <w:rPr>
                <w:rFonts w:hint="eastAsia" w:ascii="宋体" w:hAnsi="宋体" w:cs="宋体"/>
                <w:bCs/>
                <w:sz w:val="18"/>
                <w:szCs w:val="18"/>
                <w:lang w:eastAsia="zh-CN"/>
              </w:rPr>
              <w:t>交通银行股份有限公司呼和浩特锡林支行</w:t>
            </w:r>
          </w:p>
        </w:tc>
        <w:tc>
          <w:tcPr>
            <w:tcW w:w="3756" w:type="dxa"/>
            <w:vAlign w:val="top"/>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18"/>
                <w:szCs w:val="18"/>
              </w:rPr>
            </w:pPr>
            <w:r>
              <w:rPr>
                <w:rFonts w:hint="eastAsia"/>
                <w:sz w:val="18"/>
                <w:szCs w:val="18"/>
              </w:rPr>
              <w:t xml:space="preserve">                        </w:t>
            </w:r>
          </w:p>
        </w:tc>
      </w:tr>
      <w:permEnd w:id="32"/>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vAlign w:val="top"/>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18"/>
                <w:szCs w:val="18"/>
              </w:rPr>
            </w:pPr>
            <w:permStart w:id="33" w:edGrp="everyone" w:colFirst="2" w:colLast="2"/>
            <w:r>
              <w:rPr>
                <w:rFonts w:hint="eastAsia"/>
                <w:sz w:val="18"/>
                <w:szCs w:val="18"/>
              </w:rPr>
              <w:t>账号</w:t>
            </w:r>
          </w:p>
        </w:tc>
        <w:tc>
          <w:tcPr>
            <w:tcW w:w="3756" w:type="dxa"/>
            <w:vAlign w:val="top"/>
          </w:tcPr>
          <w:p>
            <w:pPr>
              <w:keepNext w:val="0"/>
              <w:keepLines w:val="0"/>
              <w:pageBreakBefore w:val="0"/>
              <w:kinsoku/>
              <w:wordWrap/>
              <w:overflowPunct/>
              <w:topLinePunct w:val="0"/>
              <w:autoSpaceDE/>
              <w:autoSpaceDN/>
              <w:bidi w:val="0"/>
              <w:adjustRightInd/>
              <w:snapToGrid/>
              <w:spacing w:line="280" w:lineRule="exact"/>
              <w:ind w:firstLine="0" w:firstLineChars="0"/>
              <w:textAlignment w:val="auto"/>
              <w:rPr>
                <w:sz w:val="18"/>
                <w:szCs w:val="18"/>
              </w:rPr>
            </w:pPr>
            <w:r>
              <w:rPr>
                <w:rFonts w:hint="eastAsia" w:ascii="宋体" w:hAnsi="宋体" w:cs="宋体"/>
                <w:bCs/>
                <w:sz w:val="18"/>
                <w:szCs w:val="18"/>
                <w:lang w:val="en-US" w:eastAsia="zh-CN"/>
              </w:rPr>
              <w:t>151179110018010002066</w:t>
            </w:r>
          </w:p>
        </w:tc>
        <w:tc>
          <w:tcPr>
            <w:tcW w:w="3756" w:type="dxa"/>
            <w:vAlign w:val="top"/>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18"/>
                <w:szCs w:val="18"/>
              </w:rPr>
            </w:pPr>
            <w:r>
              <w:rPr>
                <w:rFonts w:hint="eastAsia"/>
                <w:sz w:val="18"/>
                <w:szCs w:val="18"/>
              </w:rPr>
              <w:t xml:space="preserve">                        </w:t>
            </w:r>
          </w:p>
        </w:tc>
      </w:tr>
      <w:permEnd w:id="33"/>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vAlign w:val="top"/>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18"/>
                <w:szCs w:val="18"/>
              </w:rPr>
            </w:pPr>
            <w:permStart w:id="34" w:edGrp="everyone" w:colFirst="2" w:colLast="2"/>
            <w:r>
              <w:rPr>
                <w:rFonts w:hint="eastAsia"/>
                <w:sz w:val="18"/>
                <w:szCs w:val="18"/>
              </w:rPr>
              <w:t>纳税人识别号</w:t>
            </w:r>
          </w:p>
        </w:tc>
        <w:tc>
          <w:tcPr>
            <w:tcW w:w="3756" w:type="dxa"/>
            <w:vAlign w:val="top"/>
          </w:tcPr>
          <w:p>
            <w:pPr>
              <w:keepNext w:val="0"/>
              <w:keepLines w:val="0"/>
              <w:pageBreakBefore w:val="0"/>
              <w:kinsoku/>
              <w:wordWrap/>
              <w:overflowPunct/>
              <w:topLinePunct w:val="0"/>
              <w:autoSpaceDE/>
              <w:autoSpaceDN/>
              <w:bidi w:val="0"/>
              <w:adjustRightInd/>
              <w:snapToGrid/>
              <w:spacing w:line="280" w:lineRule="exact"/>
              <w:ind w:firstLine="0" w:firstLineChars="0"/>
              <w:textAlignment w:val="auto"/>
              <w:rPr>
                <w:sz w:val="18"/>
                <w:szCs w:val="18"/>
              </w:rPr>
            </w:pPr>
            <w:r>
              <w:rPr>
                <w:rFonts w:hint="eastAsia"/>
                <w:sz w:val="18"/>
                <w:szCs w:val="18"/>
                <w:lang w:val="en-US" w:eastAsia="zh-CN"/>
              </w:rPr>
              <w:t>91150100114165647B</w:t>
            </w:r>
          </w:p>
        </w:tc>
        <w:tc>
          <w:tcPr>
            <w:tcW w:w="3756" w:type="dxa"/>
            <w:vAlign w:val="top"/>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18"/>
                <w:szCs w:val="18"/>
              </w:rPr>
            </w:pPr>
            <w:r>
              <w:rPr>
                <w:rFonts w:hint="eastAsia"/>
                <w:sz w:val="18"/>
                <w:szCs w:val="18"/>
              </w:rPr>
              <w:t xml:space="preserve">                        </w:t>
            </w:r>
          </w:p>
        </w:tc>
      </w:tr>
      <w:permEnd w:id="34"/>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vAlign w:val="top"/>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18"/>
                <w:szCs w:val="18"/>
              </w:rPr>
            </w:pPr>
            <w:permStart w:id="35" w:edGrp="everyone" w:colFirst="2" w:colLast="2"/>
            <w:r>
              <w:rPr>
                <w:rFonts w:hint="eastAsia"/>
                <w:sz w:val="18"/>
                <w:szCs w:val="18"/>
              </w:rPr>
              <w:t>公司住所</w:t>
            </w:r>
          </w:p>
        </w:tc>
        <w:tc>
          <w:tcPr>
            <w:tcW w:w="3756" w:type="dxa"/>
            <w:vAlign w:val="top"/>
          </w:tcPr>
          <w:p>
            <w:pPr>
              <w:keepNext w:val="0"/>
              <w:keepLines w:val="0"/>
              <w:pageBreakBefore w:val="0"/>
              <w:kinsoku/>
              <w:wordWrap/>
              <w:overflowPunct/>
              <w:topLinePunct w:val="0"/>
              <w:autoSpaceDE/>
              <w:autoSpaceDN/>
              <w:bidi w:val="0"/>
              <w:adjustRightInd/>
              <w:snapToGrid/>
              <w:spacing w:line="280" w:lineRule="exact"/>
              <w:ind w:firstLine="0" w:firstLineChars="0"/>
              <w:textAlignment w:val="auto"/>
              <w:rPr>
                <w:sz w:val="18"/>
                <w:szCs w:val="18"/>
              </w:rPr>
            </w:pPr>
            <w:r>
              <w:rPr>
                <w:rFonts w:hint="eastAsia" w:ascii="宋体" w:hAnsi="宋体" w:cs="宋体"/>
                <w:bCs/>
                <w:sz w:val="18"/>
                <w:szCs w:val="18"/>
                <w:lang w:eastAsia="zh-CN"/>
              </w:rPr>
              <w:t>呼和浩特市赛罕区大学西路</w:t>
            </w:r>
            <w:r>
              <w:rPr>
                <w:rFonts w:hint="eastAsia" w:ascii="宋体" w:hAnsi="宋体" w:cs="宋体"/>
                <w:bCs/>
                <w:sz w:val="18"/>
                <w:szCs w:val="18"/>
                <w:lang w:val="en-US" w:eastAsia="zh-CN"/>
              </w:rPr>
              <w:t>75号</w:t>
            </w:r>
          </w:p>
        </w:tc>
        <w:tc>
          <w:tcPr>
            <w:tcW w:w="3756" w:type="dxa"/>
            <w:vAlign w:val="top"/>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18"/>
                <w:szCs w:val="18"/>
              </w:rPr>
            </w:pPr>
            <w:r>
              <w:rPr>
                <w:rFonts w:hint="eastAsia"/>
                <w:sz w:val="18"/>
                <w:szCs w:val="18"/>
              </w:rPr>
              <w:t xml:space="preserve">                        </w:t>
            </w:r>
          </w:p>
        </w:tc>
      </w:tr>
      <w:permEnd w:id="35"/>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vAlign w:val="top"/>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18"/>
                <w:szCs w:val="18"/>
              </w:rPr>
            </w:pPr>
            <w:permStart w:id="36" w:edGrp="everyone" w:colFirst="2" w:colLast="2"/>
            <w:r>
              <w:rPr>
                <w:rFonts w:hint="eastAsia"/>
                <w:sz w:val="18"/>
                <w:szCs w:val="18"/>
              </w:rPr>
              <w:t>联系电话</w:t>
            </w:r>
          </w:p>
        </w:tc>
        <w:tc>
          <w:tcPr>
            <w:tcW w:w="3756" w:type="dxa"/>
            <w:vAlign w:val="top"/>
          </w:tcPr>
          <w:p>
            <w:pPr>
              <w:keepNext w:val="0"/>
              <w:keepLines w:val="0"/>
              <w:pageBreakBefore w:val="0"/>
              <w:kinsoku/>
              <w:wordWrap/>
              <w:overflowPunct/>
              <w:topLinePunct w:val="0"/>
              <w:autoSpaceDE/>
              <w:autoSpaceDN/>
              <w:bidi w:val="0"/>
              <w:adjustRightInd/>
              <w:snapToGrid/>
              <w:spacing w:line="280" w:lineRule="exact"/>
              <w:ind w:firstLine="0" w:firstLineChars="0"/>
              <w:textAlignment w:val="auto"/>
              <w:rPr>
                <w:sz w:val="18"/>
                <w:szCs w:val="18"/>
              </w:rPr>
            </w:pPr>
            <w:r>
              <w:rPr>
                <w:rFonts w:hint="eastAsia" w:ascii="宋体" w:hAnsi="宋体" w:cs="宋体"/>
                <w:bCs/>
              </w:rPr>
              <w:t>0471-</w:t>
            </w:r>
            <w:r>
              <w:rPr>
                <w:rFonts w:hint="eastAsia" w:ascii="宋体" w:hAnsi="宋体" w:cs="宋体"/>
                <w:bCs/>
                <w:lang w:val="en-US" w:eastAsia="zh-CN"/>
              </w:rPr>
              <w:t>3912512</w:t>
            </w:r>
          </w:p>
        </w:tc>
        <w:tc>
          <w:tcPr>
            <w:tcW w:w="3756" w:type="dxa"/>
            <w:vAlign w:val="top"/>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 w:val="18"/>
                <w:szCs w:val="18"/>
              </w:rPr>
            </w:pPr>
            <w:r>
              <w:rPr>
                <w:rFonts w:hint="eastAsia"/>
                <w:sz w:val="18"/>
                <w:szCs w:val="18"/>
              </w:rPr>
              <w:t xml:space="preserve">                        </w:t>
            </w:r>
          </w:p>
        </w:tc>
      </w:tr>
      <w:permEnd w:id="36"/>
    </w:tbl>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2、本合同乙方纳税类型：</w:t>
      </w:r>
      <w:permStart w:id="37" w:edGrp="everyone"/>
      <w:r>
        <w:rPr>
          <w:rFonts w:hint="eastAsia"/>
          <w:sz w:val="18"/>
          <w:szCs w:val="18"/>
          <w:u w:val="single"/>
        </w:rPr>
        <w:t xml:space="preserve"> </w:t>
      </w:r>
      <w:r>
        <w:rPr>
          <w:sz w:val="18"/>
          <w:szCs w:val="18"/>
          <w:u w:val="single"/>
        </w:rPr>
        <w:t xml:space="preserve">       </w:t>
      </w:r>
      <w:permEnd w:id="37"/>
      <w:r>
        <w:rPr>
          <w:rFonts w:hint="eastAsia"/>
          <w:sz w:val="18"/>
          <w:szCs w:val="18"/>
        </w:rPr>
        <w:t>纳税人。</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rFonts w:cs="楷体"/>
          <w:sz w:val="18"/>
          <w:szCs w:val="18"/>
        </w:rPr>
      </w:pPr>
      <w:r>
        <w:rPr>
          <w:rFonts w:hint="eastAsia" w:cs="楷体"/>
          <w:sz w:val="18"/>
          <w:szCs w:val="18"/>
        </w:rPr>
        <w:t>3、</w:t>
      </w:r>
      <w:r>
        <w:rPr>
          <w:rFonts w:hint="eastAsia"/>
          <w:sz w:val="18"/>
          <w:szCs w:val="18"/>
        </w:rPr>
        <w:t>增值税发票开具时间和类型的要求</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（1）增值税发票开具时间</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bCs/>
          <w:sz w:val="18"/>
          <w:szCs w:val="18"/>
        </w:rPr>
      </w:pPr>
      <w:r>
        <w:rPr>
          <w:rFonts w:hint="eastAsia"/>
          <w:sz w:val="18"/>
          <w:szCs w:val="18"/>
        </w:rPr>
        <w:t>乙方在甲方验货确认后的</w:t>
      </w:r>
      <w:r>
        <w:rPr>
          <w:rFonts w:hint="eastAsia"/>
          <w:bCs/>
          <w:sz w:val="18"/>
          <w:szCs w:val="18"/>
        </w:rPr>
        <w:t>一个月内，依据</w:t>
      </w:r>
      <w:r>
        <w:rPr>
          <w:rFonts w:hint="eastAsia"/>
          <w:sz w:val="18"/>
          <w:szCs w:val="18"/>
        </w:rPr>
        <w:t>甲方指定签收人和乙方指定交接人共同签字的验收单</w:t>
      </w:r>
      <w:r>
        <w:rPr>
          <w:rFonts w:hint="eastAsia"/>
          <w:bCs/>
          <w:sz w:val="18"/>
          <w:szCs w:val="18"/>
        </w:rPr>
        <w:t>向甲方开具增值税发票。</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bCs/>
          <w:sz w:val="18"/>
          <w:szCs w:val="18"/>
        </w:rPr>
      </w:pPr>
      <w:r>
        <w:rPr>
          <w:rFonts w:hint="eastAsia"/>
          <w:bCs/>
          <w:sz w:val="18"/>
          <w:szCs w:val="18"/>
        </w:rPr>
        <w:t>（2）增值税发票开具的类型</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bCs/>
          <w:sz w:val="18"/>
          <w:szCs w:val="18"/>
        </w:rPr>
      </w:pPr>
      <w:r>
        <w:rPr>
          <w:rFonts w:hint="eastAsia"/>
          <w:bCs/>
          <w:sz w:val="18"/>
          <w:szCs w:val="18"/>
        </w:rPr>
        <w:t>增值税发票开具采用以下开票形式中</w:t>
      </w:r>
      <w:r>
        <w:rPr>
          <w:rFonts w:hint="eastAsia"/>
          <w:sz w:val="18"/>
          <w:szCs w:val="18"/>
        </w:rPr>
        <w:t>（第</w:t>
      </w:r>
      <w:permStart w:id="38" w:edGrp="everyone"/>
      <w:r>
        <w:rPr>
          <w:rFonts w:hint="eastAsia"/>
          <w:sz w:val="18"/>
          <w:szCs w:val="18"/>
          <w:u w:val="single"/>
        </w:rPr>
        <w:t xml:space="preserve">       </w:t>
      </w:r>
      <w:permEnd w:id="38"/>
      <w:r>
        <w:rPr>
          <w:rFonts w:hint="eastAsia"/>
          <w:sz w:val="18"/>
          <w:szCs w:val="18"/>
        </w:rPr>
        <w:t>种开票方式）。</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①第一种开票形式：乙方向甲方开具税率为</w:t>
      </w:r>
      <w:r>
        <w:rPr>
          <w:sz w:val="18"/>
          <w:szCs w:val="18"/>
          <w:u w:val="single"/>
        </w:rPr>
        <w:t xml:space="preserve"> </w:t>
      </w:r>
      <w:permStart w:id="39" w:edGrp="everyone"/>
      <w:r>
        <w:rPr>
          <w:sz w:val="18"/>
          <w:szCs w:val="18"/>
          <w:u w:val="single"/>
        </w:rPr>
        <w:t xml:space="preserve">    </w:t>
      </w:r>
      <w:permEnd w:id="39"/>
      <w:r>
        <w:rPr>
          <w:rFonts w:ascii="Arial Black" w:hAnsi="Arial Black"/>
          <w:sz w:val="18"/>
          <w:szCs w:val="18"/>
        </w:rPr>
        <w:t>%</w:t>
      </w:r>
      <w:r>
        <w:rPr>
          <w:rFonts w:hint="eastAsia"/>
          <w:sz w:val="18"/>
          <w:szCs w:val="18"/>
        </w:rPr>
        <w:t>的增值税专用发票。</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bCs/>
          <w:sz w:val="18"/>
          <w:szCs w:val="18"/>
        </w:rPr>
      </w:pPr>
      <w:r>
        <w:rPr>
          <w:rFonts w:hint="eastAsia"/>
          <w:bCs/>
          <w:sz w:val="18"/>
          <w:szCs w:val="18"/>
        </w:rPr>
        <w:t>②第二种开票形式：乙方向甲方开具税率为</w:t>
      </w:r>
      <w:r>
        <w:rPr>
          <w:sz w:val="18"/>
          <w:szCs w:val="18"/>
          <w:u w:val="single"/>
        </w:rPr>
        <w:t xml:space="preserve"> </w:t>
      </w:r>
      <w:permStart w:id="40" w:edGrp="everyone"/>
      <w:r>
        <w:rPr>
          <w:sz w:val="18"/>
          <w:szCs w:val="18"/>
          <w:u w:val="single"/>
        </w:rPr>
        <w:t xml:space="preserve">    </w:t>
      </w:r>
      <w:permEnd w:id="40"/>
      <w:r>
        <w:rPr>
          <w:rFonts w:ascii="Arial Black" w:hAnsi="Arial Black"/>
          <w:sz w:val="18"/>
          <w:szCs w:val="18"/>
        </w:rPr>
        <w:t>%</w:t>
      </w:r>
      <w:r>
        <w:rPr>
          <w:rFonts w:hint="eastAsia"/>
          <w:bCs/>
          <w:sz w:val="18"/>
          <w:szCs w:val="18"/>
        </w:rPr>
        <w:t>的增值税普通发票。</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bCs/>
          <w:sz w:val="18"/>
          <w:szCs w:val="18"/>
        </w:rPr>
      </w:pPr>
      <w:r>
        <w:rPr>
          <w:rFonts w:hint="eastAsia"/>
          <w:bCs/>
          <w:sz w:val="18"/>
          <w:szCs w:val="18"/>
        </w:rPr>
        <w:t>4、汇总开增值税专用发票的要求</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bCs/>
          <w:sz w:val="18"/>
          <w:szCs w:val="18"/>
        </w:rPr>
      </w:pPr>
      <w:r>
        <w:rPr>
          <w:rFonts w:hint="eastAsia"/>
          <w:bCs/>
          <w:sz w:val="18"/>
          <w:szCs w:val="18"/>
        </w:rPr>
        <w:t>供应商汇总开具增值专用发票，在发票“摘要”栏填写“商品混凝土一批”字样的增值税专用发票的情况下：必须向甲方提供其防伪税控系统开具的《销售货物或者提供应税劳务清单》,并加盖财务专用章或者发票专用章。</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bCs/>
          <w:sz w:val="18"/>
          <w:szCs w:val="18"/>
        </w:rPr>
      </w:pPr>
      <w:r>
        <w:rPr>
          <w:rFonts w:hint="eastAsia"/>
          <w:bCs/>
          <w:sz w:val="18"/>
          <w:szCs w:val="18"/>
        </w:rPr>
        <w:t>5、增值税专用发票丢失的补救措施</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bCs/>
          <w:sz w:val="18"/>
          <w:szCs w:val="18"/>
        </w:rPr>
      </w:pPr>
      <w:r>
        <w:rPr>
          <w:rFonts w:hint="eastAsia"/>
          <w:bCs/>
          <w:sz w:val="18"/>
          <w:szCs w:val="18"/>
        </w:rPr>
        <w:t>如果甲方今后发生丢失增值税专用发票发票联和抵扣联的情况,则乙方必须向甲方提供该增值税专用发票记账联复印件及其主管税务机关出具的《丢失增值税专用发票已报税证明单》或《丢失货物运输业增值税专用发票已报税证明单》。</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bCs/>
          <w:sz w:val="18"/>
          <w:szCs w:val="18"/>
        </w:rPr>
      </w:pPr>
      <w:r>
        <w:rPr>
          <w:rFonts w:hint="eastAsia"/>
          <w:bCs/>
          <w:sz w:val="18"/>
          <w:szCs w:val="18"/>
        </w:rPr>
        <w:t>6、乙方必须向甲方提供正规合法的增值税专用发票，如果乙方提供的增值税发票是假的或虚开的，被相关政府部门查出，</w:t>
      </w:r>
      <w:r>
        <w:rPr>
          <w:rFonts w:hint="eastAsia"/>
          <w:sz w:val="18"/>
          <w:szCs w:val="18"/>
        </w:rPr>
        <w:t>除必须重新给甲方提供正规、真实发票之外，</w:t>
      </w:r>
      <w:r>
        <w:rPr>
          <w:rFonts w:hint="eastAsia"/>
          <w:bCs/>
          <w:sz w:val="18"/>
          <w:szCs w:val="18"/>
        </w:rPr>
        <w:t>一切赔偿损失责任由乙方承担。</w:t>
      </w:r>
      <w:r>
        <w:rPr>
          <w:rFonts w:hint="eastAsia" w:cs="楷体"/>
          <w:sz w:val="18"/>
          <w:szCs w:val="18"/>
        </w:rPr>
        <w:t>而且乙方应向甲方承担赔偿责任以及损失金额10%的违约金。</w:t>
      </w:r>
    </w:p>
    <w:p>
      <w:pPr>
        <w:keepNext w:val="0"/>
        <w:keepLines w:val="0"/>
        <w:pageBreakBefore w:val="0"/>
        <w:widowControl w:val="0"/>
        <w:kinsoku/>
        <w:wordWrap/>
        <w:overflowPunct/>
        <w:topLinePunct w:val="0"/>
        <w:autoSpaceDE/>
        <w:autoSpaceDN/>
        <w:bidi w:val="0"/>
        <w:adjustRightInd/>
        <w:snapToGrid/>
        <w:spacing w:line="240" w:lineRule="auto"/>
        <w:ind w:firstLine="422"/>
        <w:textAlignment w:val="auto"/>
        <w:rPr>
          <w:b/>
          <w:sz w:val="18"/>
          <w:szCs w:val="18"/>
        </w:rPr>
      </w:pPr>
      <w:r>
        <w:rPr>
          <w:rFonts w:hint="eastAsia"/>
          <w:b/>
          <w:sz w:val="18"/>
          <w:szCs w:val="18"/>
        </w:rPr>
        <w:t>第七条、验收标准和方法</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1、验收标准</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①乙方每次供货都应随车提交该批次混凝土的名称、型号、数量、出厂质量证明书、配合比等资料。</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②现场检查验收：乙方每次到场的混凝土，甲方现场确认所提供的资料是否齐全。若乙方提供的资料不齐全，甲方有权要求乙方补齐；在乙方补齐所需提供资料之前，甲方有权拒绝接收。由此给甲方造成的损失由乙方承担一切赔偿责任。</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2、乙方按甲方要求的时间组织供货，货物运抵前半小时通知甲方准备接收；货物到工地后，甲方应在合理时间内检查验收。</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3、现场验收发现供货质量问题，乙方应按甲方要求无条件退换，因此产生的所有费用由乙方承担。</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4、甲方应按规范每批次抽样送检，该检验应委托具有法定资质的检测机构进行，最终根据鉴定结果，如混凝土标号达不到设计要求，由乙方承担由此造成的经济损失及鉴定费用。</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5、乙方应在商品混凝土出厂时，按规定抽样送检，并在该批次商品混凝土供应后一个月内向甲方提供相应的试验室检验资料。</w:t>
      </w:r>
    </w:p>
    <w:p>
      <w:pPr>
        <w:keepNext w:val="0"/>
        <w:keepLines w:val="0"/>
        <w:pageBreakBefore w:val="0"/>
        <w:widowControl w:val="0"/>
        <w:kinsoku/>
        <w:wordWrap/>
        <w:overflowPunct/>
        <w:topLinePunct w:val="0"/>
        <w:autoSpaceDE/>
        <w:autoSpaceDN/>
        <w:bidi w:val="0"/>
        <w:adjustRightInd/>
        <w:snapToGrid/>
        <w:spacing w:line="240" w:lineRule="auto"/>
        <w:ind w:firstLine="422"/>
        <w:textAlignment w:val="auto"/>
        <w:rPr>
          <w:b/>
          <w:sz w:val="18"/>
          <w:szCs w:val="18"/>
        </w:rPr>
      </w:pPr>
      <w:r>
        <w:rPr>
          <w:rFonts w:hint="eastAsia"/>
          <w:b/>
          <w:sz w:val="18"/>
          <w:szCs w:val="18"/>
        </w:rPr>
        <w:t>第八条、货款的结算、付款时间</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1、结算数量：</w:t>
      </w:r>
      <w:r>
        <w:rPr>
          <w:rFonts w:hint="eastAsia"/>
          <w:sz w:val="18"/>
          <w:szCs w:val="18"/>
          <w:u w:val="single"/>
        </w:rPr>
        <w:t>以甲方指定签收人和乙方指定交接人共同签字的签收单为准；已进行阶段性结算，制作了月[或季]供货核算单的，以该月[或季]供货核算单为准</w:t>
      </w:r>
      <w:r>
        <w:rPr>
          <w:rFonts w:hint="eastAsia"/>
          <w:sz w:val="18"/>
          <w:szCs w:val="18"/>
        </w:rPr>
        <w:t>。</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共它任何凭证都不能成为确认供货数量的依据。</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任何在生产、加工、运输、装卸过程中发生的损耗数量及货物自然损耗数量均不计入结算数量。</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2、货款结算时间：</w:t>
      </w:r>
      <w:permStart w:id="41" w:edGrp="everyone"/>
      <w:r>
        <w:rPr>
          <w:rFonts w:hint="eastAsia"/>
          <w:sz w:val="18"/>
          <w:szCs w:val="18"/>
          <w:u w:val="single"/>
        </w:rPr>
        <w:t xml:space="preserve">                             </w:t>
      </w:r>
      <w:permEnd w:id="41"/>
      <w:r>
        <w:rPr>
          <w:rFonts w:hint="eastAsia"/>
          <w:sz w:val="18"/>
          <w:szCs w:val="18"/>
        </w:rPr>
        <w:t>。</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rFonts w:cs="楷体"/>
          <w:sz w:val="18"/>
          <w:szCs w:val="18"/>
        </w:rPr>
      </w:pPr>
      <w:r>
        <w:rPr>
          <w:rFonts w:hint="eastAsia" w:cs="楷体"/>
          <w:sz w:val="18"/>
          <w:szCs w:val="18"/>
        </w:rPr>
        <w:t>3、付款方式和付款时间：</w:t>
      </w:r>
      <w:permStart w:id="42" w:edGrp="everyone"/>
      <w:r>
        <w:rPr>
          <w:rFonts w:hint="eastAsia" w:cs="楷体"/>
          <w:sz w:val="18"/>
          <w:szCs w:val="18"/>
          <w:u w:val="single"/>
        </w:rPr>
        <w:t xml:space="preserve"> </w:t>
      </w:r>
      <w:r>
        <w:rPr>
          <w:rFonts w:cs="楷体"/>
          <w:sz w:val="18"/>
          <w:szCs w:val="18"/>
          <w:u w:val="single"/>
        </w:rPr>
        <w:t xml:space="preserve">                                                   </w:t>
      </w:r>
      <w:permEnd w:id="42"/>
      <w:r>
        <w:rPr>
          <w:rFonts w:cs="楷体"/>
          <w:sz w:val="18"/>
          <w:szCs w:val="18"/>
          <w:u w:val="single"/>
        </w:rPr>
        <w:t xml:space="preserve"> </w:t>
      </w:r>
      <w:r>
        <w:rPr>
          <w:rFonts w:hint="eastAsia" w:cs="楷体"/>
          <w:sz w:val="18"/>
          <w:szCs w:val="18"/>
        </w:rPr>
        <w:t>。</w:t>
      </w:r>
    </w:p>
    <w:p>
      <w:pPr>
        <w:keepNext w:val="0"/>
        <w:keepLines w:val="0"/>
        <w:pageBreakBefore w:val="0"/>
        <w:widowControl w:val="0"/>
        <w:kinsoku/>
        <w:wordWrap/>
        <w:overflowPunct/>
        <w:topLinePunct w:val="0"/>
        <w:autoSpaceDE/>
        <w:autoSpaceDN/>
        <w:bidi w:val="0"/>
        <w:adjustRightInd/>
        <w:snapToGrid/>
        <w:spacing w:line="240" w:lineRule="auto"/>
        <w:ind w:firstLine="422"/>
        <w:textAlignment w:val="auto"/>
        <w:rPr>
          <w:rFonts w:cs="楷体"/>
          <w:b/>
          <w:color w:val="FF0000"/>
          <w:sz w:val="18"/>
          <w:szCs w:val="18"/>
        </w:rPr>
      </w:pPr>
      <w:r>
        <w:rPr>
          <w:rFonts w:ascii="宋体" w:hAnsi="宋体"/>
          <w:b/>
          <w:color w:val="FF0000"/>
          <w:sz w:val="18"/>
          <w:szCs w:val="18"/>
          <w:shd w:val="clear" w:color="auto" w:fill="FFFFFF"/>
        </w:rPr>
        <w:t>[</w:t>
      </w:r>
      <w:r>
        <w:rPr>
          <w:rFonts w:hint="eastAsia" w:ascii="宋体" w:hAnsi="宋体"/>
          <w:b/>
          <w:color w:val="FF0000"/>
          <w:sz w:val="18"/>
          <w:szCs w:val="18"/>
          <w:shd w:val="clear" w:color="auto" w:fill="FFFFFF"/>
        </w:rPr>
        <w:t>提示：</w:t>
      </w:r>
      <w:r>
        <w:rPr>
          <w:rFonts w:ascii="宋体" w:hAnsi="宋体"/>
          <w:b/>
          <w:color w:val="FF0000"/>
          <w:sz w:val="18"/>
          <w:szCs w:val="18"/>
          <w:shd w:val="clear" w:color="auto" w:fill="FFFFFF"/>
        </w:rPr>
        <w:t>主要约定付款条件(先付款后发货、或先发货验收合格后再付款)、发票开具(先开票后付款，或先付款后开票)等</w:t>
      </w:r>
      <w:r>
        <w:rPr>
          <w:rFonts w:hint="eastAsia" w:ascii="宋体" w:hAnsi="宋体"/>
          <w:b/>
          <w:color w:val="FF0000"/>
          <w:sz w:val="18"/>
          <w:szCs w:val="18"/>
          <w:shd w:val="clear" w:color="auto" w:fill="FFFFFF"/>
        </w:rPr>
        <w:t>]</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rFonts w:cs="楷体"/>
          <w:sz w:val="18"/>
          <w:szCs w:val="18"/>
        </w:rPr>
      </w:pPr>
      <w:r>
        <w:rPr>
          <w:rFonts w:hint="eastAsia" w:cs="楷体"/>
          <w:sz w:val="18"/>
          <w:szCs w:val="18"/>
        </w:rPr>
        <w:t>乙方货款采用银行承兑汇票形式或银行转账支付形式进行支付。</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rFonts w:cs="楷体"/>
          <w:sz w:val="18"/>
          <w:szCs w:val="18"/>
        </w:rPr>
      </w:pPr>
      <w:r>
        <w:rPr>
          <w:rFonts w:hint="eastAsia" w:cs="楷体"/>
          <w:sz w:val="18"/>
          <w:szCs w:val="18"/>
        </w:rPr>
        <w:t>款项支付至合同约定的收款账户，收款账户名称必须与合同乙方单位名称一致。</w:t>
      </w:r>
    </w:p>
    <w:p>
      <w:pPr>
        <w:keepNext w:val="0"/>
        <w:keepLines w:val="0"/>
        <w:pageBreakBefore w:val="0"/>
        <w:widowControl w:val="0"/>
        <w:kinsoku/>
        <w:wordWrap/>
        <w:overflowPunct/>
        <w:topLinePunct w:val="0"/>
        <w:autoSpaceDE/>
        <w:autoSpaceDN/>
        <w:bidi w:val="0"/>
        <w:adjustRightInd/>
        <w:snapToGrid/>
        <w:spacing w:line="240" w:lineRule="auto"/>
        <w:ind w:firstLine="422"/>
        <w:textAlignment w:val="auto"/>
        <w:rPr>
          <w:b/>
          <w:sz w:val="18"/>
          <w:szCs w:val="18"/>
        </w:rPr>
      </w:pPr>
      <w:r>
        <w:rPr>
          <w:rFonts w:hint="eastAsia"/>
          <w:b/>
          <w:sz w:val="18"/>
          <w:szCs w:val="18"/>
        </w:rPr>
        <w:t>第九条、双方的权利和义务</w:t>
      </w:r>
    </w:p>
    <w:p>
      <w:pPr>
        <w:keepNext w:val="0"/>
        <w:keepLines w:val="0"/>
        <w:pageBreakBefore w:val="0"/>
        <w:widowControl w:val="0"/>
        <w:kinsoku/>
        <w:wordWrap/>
        <w:overflowPunct/>
        <w:topLinePunct w:val="0"/>
        <w:autoSpaceDE/>
        <w:autoSpaceDN/>
        <w:bidi w:val="0"/>
        <w:adjustRightInd/>
        <w:snapToGrid/>
        <w:spacing w:line="240" w:lineRule="auto"/>
        <w:ind w:firstLine="422"/>
        <w:textAlignment w:val="auto"/>
        <w:rPr>
          <w:b/>
          <w:sz w:val="18"/>
          <w:szCs w:val="18"/>
        </w:rPr>
      </w:pPr>
      <w:r>
        <w:rPr>
          <w:rFonts w:hint="eastAsia"/>
          <w:b/>
          <w:sz w:val="18"/>
          <w:szCs w:val="18"/>
        </w:rPr>
        <w:t>（一）甲方的权利和义务</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1、甲方应为乙方提供必需的商品混凝土供应保障条件：做到施工现场道路畅通，保证必需的电力、水源及临时清洁车辆场地、照明等设施。</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2、甲方应在交货地点设立标志，在施工现场开设安全通道，并设专人在施工现场负责指挥混凝土搅拌车进出工地及卸料。</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3、商品混凝土运到施工现场后，甲方人员未经乙方技术负责人签名同意，而单方掺入外加剂、掺和物而引发的混凝土质量问题由甲方负责。</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4、甲方严格按照国家有关标准及规范对混凝土抽样检验、按需要数量制作试件。标准养护试件至规定龄期后，送质检机构进行检验，以此检验结果作为混凝土质量评定依据。</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5、甲方有义务按合同约定的时间及时与乙方办理结算。</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6、乙方未及时提供商品混凝土产品合格证和相关技术资料供给甲方查验，甲方有权拒绝验收乙方所提供的商品混凝土，因拒绝验收而造成的经济损失，由乙方承担。</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7、甲方项目部工程技术专用章仅限所涉及工程技术资料专用，仅对本合同相关资料事项及其他工程技术资料有效，除此之外的其它事宜处理均属越权，甲方不予认可，对甲方不产生法律效力。</w:t>
      </w:r>
    </w:p>
    <w:p>
      <w:pPr>
        <w:keepNext w:val="0"/>
        <w:keepLines w:val="0"/>
        <w:pageBreakBefore w:val="0"/>
        <w:widowControl w:val="0"/>
        <w:kinsoku/>
        <w:wordWrap/>
        <w:overflowPunct/>
        <w:topLinePunct w:val="0"/>
        <w:autoSpaceDE/>
        <w:autoSpaceDN/>
        <w:bidi w:val="0"/>
        <w:adjustRightInd/>
        <w:snapToGrid/>
        <w:spacing w:line="240" w:lineRule="auto"/>
        <w:ind w:firstLine="422"/>
        <w:textAlignment w:val="auto"/>
        <w:rPr>
          <w:b/>
          <w:sz w:val="18"/>
          <w:szCs w:val="18"/>
        </w:rPr>
      </w:pPr>
      <w:r>
        <w:rPr>
          <w:rFonts w:hint="eastAsia"/>
          <w:b/>
          <w:sz w:val="18"/>
          <w:szCs w:val="18"/>
        </w:rPr>
        <w:t>（二）乙方的权利和义务</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1、乙方须执行“预拌混凝土国家标准GB14902-2003等有关系列规范和标准进行原材料检验、配合比设计、混凝土生产质量检验工作、保证混凝土质量和施工性能满足合同要求。</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2、乙方每批混凝土供应前应向甲方提供该批混凝土的配合比设计报告及有关原材料的检验报告，确保各项技术资料齐全；大方量混凝土（单次浇注超过500m</w:t>
      </w:r>
      <w:r>
        <w:rPr>
          <w:rFonts w:hint="eastAsia"/>
          <w:sz w:val="18"/>
          <w:szCs w:val="18"/>
          <w:vertAlign w:val="superscript"/>
        </w:rPr>
        <w:t>3</w:t>
      </w:r>
      <w:r>
        <w:rPr>
          <w:rFonts w:hint="eastAsia"/>
          <w:sz w:val="18"/>
          <w:szCs w:val="18"/>
        </w:rPr>
        <w:t>）供应期间，乙方应派专业技术人员到现场进行质量监控。</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3、乙方发货单（一车一单）要求由操作室人员签发，并准确填写车号、混凝土强度等级、数量、坍落度、使用部位和出厂时间，由商品混凝土运输车司机随车携带，进入工地后由甲方人员签认，作为结算凭证及付款依据。</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4、本合同签订后至开始供混凝土前，乙方技术部门应向甲方提交书面技术交底报告，注明在现场接收、泵送、浇筑、养护混凝土的注意事项。</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5、因现场抽样检验不合格，当乙方对检验结果有异议时，双方协商可再用抽芯、回弹等方法进行鉴定，鉴定不合格所造成的损失由责任方承担。</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6、若该工程乙方所供应的混凝土出现质量问题，以该工程有管辖权的建设主管部门组织进行的专家分析结论和鉴定结果作为裁决依据，双方各自承担应负责任。</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7、因乙方商品混凝土供应不及时，导致连续浇捣供应中断造成的冷缝问题和甲方工期延误，乙方承担由此造成的一切经济损失。</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8、乙方运输过程中防止外泄，若运输过程中造成环境污染及发生安全事故，由乙方承担全部责任；运送车辆驾乘人员进入施工现场应佩戴安全帽，并服从现场管理人员指挥。若违反规定造成的安全事故由乙方承担全部责任。</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9、乙方所提供的商品混凝土质量经具有法定资质的检测机构检测不合格，乙方应赔偿甲方的直接经济损失和由此造成的第三方经济损失，甲方有权单方终止合同。</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10、在未完成本工程合同约定供货任务前，乙方不得以任何理由终止合同。否则乙方承担由此给甲方及第三方造成的一切经济损失及法律责任。</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11、凡在施工现场以外所发生的一切事故，由乙方承担全部责任。</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12、乙方应保证车辆及驾驶人员状况良好，且车辆进入施工现场必须减速慢行，速度不得高于15公里/小时，同时执行甲方项目部相关管理规定。如因乙方车辆自身原因及因超载、超速及不按规定行驶所导致的一切安全事故概由乙方承担全部事故责任。</w:t>
      </w:r>
    </w:p>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b/>
          <w:sz w:val="18"/>
          <w:szCs w:val="18"/>
        </w:rPr>
      </w:pPr>
      <w:r>
        <w:rPr>
          <w:rFonts w:hint="eastAsia"/>
          <w:b/>
          <w:sz w:val="18"/>
          <w:szCs w:val="18"/>
        </w:rPr>
        <w:t>第十条  合同变更、解除和争议解决方式</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1、本合同自签订之日起生效，任何一方不得擅自变更或终止，如需变更或终止应经双方协商同意后，签订补充协议或终止合同协议书；如遇不可抗力事件（包括但不限于暴雨、大雪、水淹、地震、狂风或其他灾，战争或暴乱）影响本合同的履行或造成混凝土质量问题时，受不可抗力影响的一方应于72小时内将事故情况书面通知对方，可免予承担违约责任。</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2、凡因履行本合同所发生的或与本合同有关的一切争议，双方应友好协商解决；如果协商不能解决，可向甲方所在地人民法院提起诉讼。</w:t>
      </w:r>
    </w:p>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b/>
          <w:sz w:val="18"/>
          <w:szCs w:val="18"/>
        </w:rPr>
      </w:pPr>
      <w:r>
        <w:rPr>
          <w:rFonts w:hint="eastAsia"/>
          <w:b/>
          <w:sz w:val="18"/>
          <w:szCs w:val="18"/>
        </w:rPr>
        <w:t>第十一条  解决合同纠纷的方式</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本合同在履行过程中产生争议的，甲、乙双方应协商解决，如确不能协商，任何一方均可向甲方所在地人民法院提起诉讼，通过诉讼方式解决。</w:t>
      </w:r>
    </w:p>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b/>
          <w:sz w:val="18"/>
          <w:szCs w:val="18"/>
        </w:rPr>
      </w:pPr>
      <w:r>
        <w:rPr>
          <w:rFonts w:hint="eastAsia"/>
          <w:b/>
          <w:sz w:val="18"/>
          <w:szCs w:val="18"/>
        </w:rPr>
        <w:t>第十二条  合同生效</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rFonts w:cs="宋体"/>
          <w:kern w:val="0"/>
          <w:sz w:val="18"/>
          <w:szCs w:val="18"/>
        </w:rPr>
      </w:pPr>
      <w:r>
        <w:rPr>
          <w:rFonts w:hint="eastAsia"/>
          <w:sz w:val="18"/>
          <w:szCs w:val="18"/>
        </w:rPr>
        <w:t>合同自双方法定代表人或授权代表签字，并加盖双方公章或合同专用章后生效。</w:t>
      </w:r>
      <w:r>
        <w:rPr>
          <w:rFonts w:hint="eastAsia" w:cs="宋体"/>
          <w:kern w:val="0"/>
          <w:sz w:val="18"/>
          <w:szCs w:val="18"/>
        </w:rPr>
        <w:t>有效期至双方履行完合同条款，但有关产品质量保证和保密声明的条款除外。合同终止后，甲乙双方应遵循诚实信用原则，履行通知、协助、保密义务。</w:t>
      </w:r>
      <w:r>
        <w:rPr>
          <w:rFonts w:hint="eastAsia"/>
          <w:sz w:val="18"/>
          <w:szCs w:val="18"/>
        </w:rPr>
        <w:t>本合同一式</w:t>
      </w:r>
      <w:r>
        <w:rPr>
          <w:rFonts w:hint="eastAsia"/>
          <w:sz w:val="18"/>
          <w:szCs w:val="18"/>
          <w:lang w:val="en-US" w:eastAsia="zh-CN"/>
        </w:rPr>
        <w:t>贰</w:t>
      </w:r>
      <w:r>
        <w:rPr>
          <w:rFonts w:hint="eastAsia"/>
          <w:sz w:val="18"/>
          <w:szCs w:val="18"/>
        </w:rPr>
        <w:t>份，甲方</w:t>
      </w:r>
      <w:r>
        <w:rPr>
          <w:rFonts w:hint="eastAsia"/>
          <w:sz w:val="18"/>
          <w:szCs w:val="18"/>
          <w:lang w:val="en-US" w:eastAsia="zh-CN"/>
        </w:rPr>
        <w:t>壹</w:t>
      </w:r>
      <w:r>
        <w:rPr>
          <w:rFonts w:hint="eastAsia"/>
          <w:sz w:val="18"/>
          <w:szCs w:val="18"/>
        </w:rPr>
        <w:t>份，乙方壹份。</w:t>
      </w:r>
    </w:p>
    <w:p>
      <w:pPr>
        <w:ind w:left="0" w:leftChars="0" w:firstLine="0" w:firstLineChars="0"/>
        <w:jc w:val="both"/>
        <w:rPr>
          <w:rFonts w:hint="eastAsia"/>
          <w:sz w:val="21"/>
          <w:szCs w:val="21"/>
          <w:lang w:eastAsia="zh-CN"/>
        </w:rPr>
      </w:pPr>
    </w:p>
    <w:p>
      <w:pPr>
        <w:ind w:left="0" w:leftChars="0" w:firstLine="0" w:firstLineChars="0"/>
        <w:jc w:val="both"/>
        <w:rPr>
          <w:rFonts w:hint="eastAsia"/>
          <w:sz w:val="21"/>
          <w:szCs w:val="21"/>
          <w:lang w:eastAsia="zh-CN"/>
        </w:rPr>
      </w:pPr>
    </w:p>
    <w:p>
      <w:pPr>
        <w:ind w:left="0" w:leftChars="0" w:firstLine="0" w:firstLineChars="0"/>
        <w:jc w:val="both"/>
        <w:rPr>
          <w:rFonts w:hint="eastAsia"/>
          <w:sz w:val="21"/>
          <w:szCs w:val="21"/>
          <w:lang w:eastAsia="zh-CN"/>
        </w:rPr>
      </w:pPr>
    </w:p>
    <w:p>
      <w:pPr>
        <w:keepNext w:val="0"/>
        <w:keepLines w:val="0"/>
        <w:pageBreakBefore w:val="0"/>
        <w:widowControl w:val="0"/>
        <w:kinsoku/>
        <w:wordWrap/>
        <w:overflowPunct/>
        <w:topLinePunct w:val="0"/>
        <w:autoSpaceDE/>
        <w:autoSpaceDN/>
        <w:bidi w:val="0"/>
        <w:adjustRightInd/>
        <w:snapToGrid/>
        <w:spacing w:line="480" w:lineRule="auto"/>
        <w:ind w:left="0" w:leftChars="0" w:firstLine="0" w:firstLineChars="0"/>
        <w:textAlignment w:val="auto"/>
        <w:rPr>
          <w:rFonts w:hint="eastAsia" w:hAnsi="宋体"/>
          <w:sz w:val="18"/>
          <w:szCs w:val="18"/>
        </w:rPr>
        <w:sectPr>
          <w:headerReference r:id="rId3" w:type="default"/>
          <w:footerReference r:id="rId4" w:type="default"/>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p>
    <w:p>
      <w:pPr>
        <w:keepNext w:val="0"/>
        <w:keepLines w:val="0"/>
        <w:pageBreakBefore w:val="0"/>
        <w:widowControl w:val="0"/>
        <w:kinsoku/>
        <w:wordWrap/>
        <w:overflowPunct/>
        <w:topLinePunct w:val="0"/>
        <w:autoSpaceDE/>
        <w:autoSpaceDN/>
        <w:bidi w:val="0"/>
        <w:adjustRightInd/>
        <w:snapToGrid/>
        <w:spacing w:line="480" w:lineRule="auto"/>
        <w:ind w:left="720" w:leftChars="0" w:hanging="720" w:hangingChars="400"/>
        <w:textAlignment w:val="auto"/>
        <w:rPr>
          <w:rFonts w:hint="eastAsia" w:hAnsi="宋体"/>
          <w:sz w:val="18"/>
          <w:szCs w:val="18"/>
        </w:rPr>
      </w:pPr>
      <w:r>
        <w:rPr>
          <w:rFonts w:hint="eastAsia" w:hAnsi="宋体"/>
          <w:sz w:val="18"/>
          <w:szCs w:val="18"/>
        </w:rPr>
        <w:t>甲方（需方盖章）</w:t>
      </w:r>
      <w:r>
        <w:rPr>
          <w:rFonts w:hint="eastAsia" w:hAnsi="宋体"/>
          <w:sz w:val="18"/>
          <w:szCs w:val="18"/>
          <w:lang w:eastAsia="zh-CN"/>
        </w:rPr>
        <w:t>：</w:t>
      </w:r>
      <w:r>
        <w:rPr>
          <w:rFonts w:hint="eastAsia" w:hAnsi="宋体"/>
          <w:sz w:val="18"/>
          <w:szCs w:val="18"/>
        </w:rPr>
        <w:t xml:space="preserve">  </w:t>
      </w:r>
      <w:r>
        <w:rPr>
          <w:rFonts w:hint="eastAsia" w:hAnsi="宋体"/>
          <w:sz w:val="18"/>
          <w:szCs w:val="18"/>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80" w:lineRule="auto"/>
        <w:ind w:left="0" w:leftChars="0" w:firstLine="0" w:firstLineChars="0"/>
        <w:textAlignment w:val="auto"/>
        <w:rPr>
          <w:rFonts w:hint="eastAsia" w:hAnsi="宋体"/>
          <w:sz w:val="18"/>
          <w:szCs w:val="18"/>
          <w:lang w:eastAsia="zh-CN"/>
        </w:rPr>
      </w:pPr>
      <w:r>
        <w:rPr>
          <w:rFonts w:hint="eastAsia" w:hAnsi="宋体"/>
          <w:sz w:val="18"/>
          <w:szCs w:val="18"/>
        </w:rPr>
        <w:t>法定代表人或委托代理人（签字）</w:t>
      </w:r>
      <w:r>
        <w:rPr>
          <w:rFonts w:hint="eastAsia" w:hAnsi="宋体"/>
          <w:sz w:val="18"/>
          <w:szCs w:val="18"/>
          <w:lang w:eastAsia="zh-CN"/>
        </w:rPr>
        <w:t>：</w:t>
      </w:r>
    </w:p>
    <w:p>
      <w:pPr>
        <w:keepNext w:val="0"/>
        <w:keepLines w:val="0"/>
        <w:pageBreakBefore w:val="0"/>
        <w:widowControl w:val="0"/>
        <w:kinsoku/>
        <w:wordWrap/>
        <w:overflowPunct/>
        <w:topLinePunct w:val="0"/>
        <w:autoSpaceDE/>
        <w:autoSpaceDN/>
        <w:bidi w:val="0"/>
        <w:adjustRightInd/>
        <w:snapToGrid/>
        <w:spacing w:line="480" w:lineRule="auto"/>
        <w:ind w:left="0" w:leftChars="0" w:firstLine="0" w:firstLineChars="0"/>
        <w:textAlignment w:val="auto"/>
        <w:rPr>
          <w:rFonts w:hint="default" w:hAnsi="宋体"/>
          <w:sz w:val="18"/>
          <w:szCs w:val="18"/>
          <w:lang w:val="en-US" w:eastAsia="zh-CN"/>
        </w:rPr>
      </w:pPr>
      <w:r>
        <w:rPr>
          <w:rFonts w:hint="eastAsia" w:hAnsi="宋体"/>
          <w:sz w:val="18"/>
          <w:szCs w:val="18"/>
          <w:lang w:eastAsia="zh-CN"/>
        </w:rPr>
        <w:t>电话：</w:t>
      </w:r>
      <w:r>
        <w:rPr>
          <w:rFonts w:hint="eastAsia" w:ascii="宋体" w:hAnsi="宋体" w:cs="宋体"/>
          <w:bCs/>
        </w:rPr>
        <w:t>0471-</w:t>
      </w:r>
      <w:r>
        <w:rPr>
          <w:rFonts w:hint="eastAsia" w:ascii="宋体" w:hAnsi="宋体" w:cs="宋体"/>
          <w:bCs/>
          <w:lang w:val="en-US" w:eastAsia="zh-CN"/>
        </w:rPr>
        <w:t>3912512</w:t>
      </w:r>
    </w:p>
    <w:p>
      <w:pPr>
        <w:keepNext w:val="0"/>
        <w:keepLines w:val="0"/>
        <w:pageBreakBefore w:val="0"/>
        <w:widowControl w:val="0"/>
        <w:kinsoku/>
        <w:wordWrap/>
        <w:overflowPunct/>
        <w:topLinePunct w:val="0"/>
        <w:autoSpaceDE/>
        <w:autoSpaceDN/>
        <w:bidi w:val="0"/>
        <w:adjustRightInd/>
        <w:snapToGrid/>
        <w:spacing w:line="480" w:lineRule="auto"/>
        <w:ind w:left="0" w:leftChars="0" w:firstLine="0" w:firstLineChars="0"/>
        <w:textAlignment w:val="auto"/>
        <w:rPr>
          <w:rFonts w:hint="default" w:hAnsi="宋体" w:eastAsiaTheme="minorEastAsia"/>
          <w:sz w:val="18"/>
          <w:szCs w:val="18"/>
          <w:lang w:val="en-US" w:eastAsia="zh-CN"/>
        </w:rPr>
      </w:pPr>
      <w:r>
        <w:rPr>
          <w:rFonts w:hint="eastAsia" w:hAnsi="宋体"/>
          <w:sz w:val="18"/>
          <w:szCs w:val="18"/>
          <w:lang w:val="en-US" w:eastAsia="zh-CN"/>
        </w:rPr>
        <w:t>办公</w:t>
      </w:r>
      <w:r>
        <w:rPr>
          <w:rFonts w:hint="eastAsia" w:hAnsi="宋体"/>
          <w:sz w:val="18"/>
          <w:szCs w:val="18"/>
        </w:rPr>
        <w:t>地址：</w:t>
      </w:r>
      <w:r>
        <w:rPr>
          <w:rFonts w:hint="eastAsia" w:ascii="宋体" w:hAnsi="宋体" w:cs="宋体"/>
          <w:bCs/>
          <w:sz w:val="18"/>
          <w:szCs w:val="18"/>
          <w:lang w:eastAsia="zh-CN"/>
        </w:rPr>
        <w:t>呼和浩特市赛罕区大学西路</w:t>
      </w:r>
      <w:r>
        <w:rPr>
          <w:rFonts w:hint="eastAsia" w:ascii="宋体" w:hAnsi="宋体" w:cs="宋体"/>
          <w:bCs/>
          <w:sz w:val="18"/>
          <w:szCs w:val="18"/>
          <w:lang w:val="en-US" w:eastAsia="zh-CN"/>
        </w:rPr>
        <w:t>75号</w:t>
      </w:r>
    </w:p>
    <w:p>
      <w:pPr>
        <w:keepNext w:val="0"/>
        <w:keepLines w:val="0"/>
        <w:pageBreakBefore w:val="0"/>
        <w:widowControl w:val="0"/>
        <w:kinsoku/>
        <w:wordWrap/>
        <w:overflowPunct/>
        <w:topLinePunct w:val="0"/>
        <w:autoSpaceDE/>
        <w:autoSpaceDN/>
        <w:bidi w:val="0"/>
        <w:adjustRightInd/>
        <w:snapToGrid/>
        <w:spacing w:line="480" w:lineRule="auto"/>
        <w:ind w:left="0" w:leftChars="0" w:firstLine="0" w:firstLineChars="0"/>
        <w:textAlignment w:val="auto"/>
        <w:rPr>
          <w:rFonts w:hint="eastAsia" w:hAnsi="宋体"/>
          <w:sz w:val="18"/>
          <w:szCs w:val="18"/>
          <w:lang w:val="en-US" w:eastAsia="zh-CN"/>
        </w:rPr>
      </w:pPr>
      <w:r>
        <w:rPr>
          <w:rFonts w:hint="eastAsia" w:hAnsi="宋体"/>
          <w:sz w:val="18"/>
          <w:szCs w:val="18"/>
          <w:lang w:val="en-US" w:eastAsia="zh-CN"/>
        </w:rPr>
        <w:t xml:space="preserve">日期：  </w:t>
      </w:r>
    </w:p>
    <w:p>
      <w:pPr>
        <w:keepNext w:val="0"/>
        <w:keepLines w:val="0"/>
        <w:pageBreakBefore w:val="0"/>
        <w:widowControl w:val="0"/>
        <w:kinsoku/>
        <w:wordWrap/>
        <w:overflowPunct/>
        <w:topLinePunct w:val="0"/>
        <w:autoSpaceDE/>
        <w:autoSpaceDN/>
        <w:bidi w:val="0"/>
        <w:adjustRightInd/>
        <w:snapToGrid/>
        <w:spacing w:line="480" w:lineRule="auto"/>
        <w:ind w:left="0" w:leftChars="0" w:firstLine="0" w:firstLineChars="0"/>
        <w:textAlignment w:val="auto"/>
        <w:rPr>
          <w:rFonts w:hint="eastAsia" w:hAnsi="宋体"/>
          <w:sz w:val="18"/>
          <w:szCs w:val="18"/>
        </w:rPr>
      </w:pPr>
      <w:r>
        <w:rPr>
          <w:rFonts w:hint="eastAsia" w:hAnsi="宋体"/>
          <w:sz w:val="18"/>
          <w:szCs w:val="18"/>
          <w:lang w:eastAsia="zh-CN"/>
        </w:rPr>
        <w:t>乙</w:t>
      </w:r>
      <w:r>
        <w:rPr>
          <w:rFonts w:hint="eastAsia" w:hAnsi="宋体"/>
          <w:sz w:val="18"/>
          <w:szCs w:val="18"/>
        </w:rPr>
        <w:t>方（</w:t>
      </w:r>
      <w:r>
        <w:rPr>
          <w:rFonts w:hint="eastAsia" w:hAnsi="宋体"/>
          <w:sz w:val="18"/>
          <w:szCs w:val="18"/>
          <w:lang w:eastAsia="zh-CN"/>
        </w:rPr>
        <w:t>供</w:t>
      </w:r>
      <w:r>
        <w:rPr>
          <w:rFonts w:hint="eastAsia" w:hAnsi="宋体"/>
          <w:sz w:val="18"/>
          <w:szCs w:val="18"/>
        </w:rPr>
        <w:t>方盖章）</w:t>
      </w:r>
      <w:r>
        <w:rPr>
          <w:rFonts w:hint="eastAsia" w:hAnsi="宋体"/>
          <w:sz w:val="18"/>
          <w:szCs w:val="18"/>
          <w:lang w:eastAsia="zh-CN"/>
        </w:rPr>
        <w:t>：</w:t>
      </w:r>
      <w:r>
        <w:rPr>
          <w:rFonts w:hint="eastAsia" w:hAnsi="宋体"/>
          <w:sz w:val="18"/>
          <w:szCs w:val="18"/>
        </w:rPr>
        <w:t xml:space="preserve">  </w:t>
      </w:r>
    </w:p>
    <w:p>
      <w:pPr>
        <w:keepNext w:val="0"/>
        <w:keepLines w:val="0"/>
        <w:pageBreakBefore w:val="0"/>
        <w:widowControl w:val="0"/>
        <w:kinsoku/>
        <w:wordWrap/>
        <w:overflowPunct/>
        <w:topLinePunct w:val="0"/>
        <w:autoSpaceDE/>
        <w:autoSpaceDN/>
        <w:bidi w:val="0"/>
        <w:adjustRightInd/>
        <w:snapToGrid/>
        <w:spacing w:line="480" w:lineRule="auto"/>
        <w:ind w:left="0" w:leftChars="0" w:firstLine="0" w:firstLineChars="0"/>
        <w:textAlignment w:val="auto"/>
        <w:rPr>
          <w:rFonts w:hint="eastAsia" w:hAnsi="宋体"/>
          <w:sz w:val="18"/>
          <w:szCs w:val="18"/>
          <w:lang w:eastAsia="zh-CN"/>
        </w:rPr>
      </w:pPr>
      <w:r>
        <w:rPr>
          <w:rFonts w:hint="eastAsia" w:hAnsi="宋体"/>
          <w:sz w:val="18"/>
          <w:szCs w:val="18"/>
        </w:rPr>
        <w:t>法定代表人或委托代理人（签字）</w:t>
      </w:r>
      <w:r>
        <w:rPr>
          <w:rFonts w:hint="eastAsia" w:hAnsi="宋体"/>
          <w:sz w:val="18"/>
          <w:szCs w:val="18"/>
          <w:lang w:eastAsia="zh-CN"/>
        </w:rPr>
        <w:t>：</w:t>
      </w:r>
    </w:p>
    <w:p>
      <w:pPr>
        <w:keepNext w:val="0"/>
        <w:keepLines w:val="0"/>
        <w:pageBreakBefore w:val="0"/>
        <w:widowControl w:val="0"/>
        <w:kinsoku/>
        <w:wordWrap/>
        <w:overflowPunct/>
        <w:topLinePunct w:val="0"/>
        <w:autoSpaceDE/>
        <w:autoSpaceDN/>
        <w:bidi w:val="0"/>
        <w:adjustRightInd/>
        <w:snapToGrid/>
        <w:spacing w:line="480" w:lineRule="auto"/>
        <w:ind w:left="0" w:leftChars="0" w:firstLine="0" w:firstLineChars="0"/>
        <w:textAlignment w:val="auto"/>
        <w:rPr>
          <w:rFonts w:hint="default" w:hAnsi="宋体"/>
          <w:sz w:val="18"/>
          <w:szCs w:val="18"/>
          <w:lang w:val="en-US" w:eastAsia="zh-CN"/>
        </w:rPr>
      </w:pPr>
      <w:r>
        <w:rPr>
          <w:rFonts w:hint="eastAsia" w:hAnsi="宋体"/>
          <w:sz w:val="18"/>
          <w:szCs w:val="18"/>
          <w:lang w:eastAsia="zh-CN"/>
        </w:rPr>
        <w:t>电话：</w:t>
      </w:r>
      <w:r>
        <w:rPr>
          <w:rFonts w:hint="eastAsia" w:hAnsi="宋体"/>
          <w:sz w:val="18"/>
          <w:szCs w:val="18"/>
          <w:lang w:val="en-US" w:eastAsia="zh-CN"/>
        </w:rPr>
        <w:t xml:space="preserve"> </w:t>
      </w:r>
      <w:permStart w:id="43" w:edGrp="everyone"/>
      <w:r>
        <w:rPr>
          <w:rFonts w:hint="eastAsia" w:hAnsi="宋体"/>
          <w:sz w:val="18"/>
          <w:szCs w:val="18"/>
          <w:lang w:val="en-US" w:eastAsia="zh-CN"/>
        </w:rPr>
        <w:t xml:space="preserve">                           </w:t>
      </w:r>
      <w:permEnd w:id="43"/>
      <w:r>
        <w:rPr>
          <w:rFonts w:hint="eastAsia" w:hAnsi="宋体"/>
          <w:sz w:val="18"/>
          <w:szCs w:val="18"/>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80" w:lineRule="auto"/>
        <w:ind w:left="0" w:leftChars="0" w:firstLine="0" w:firstLineChars="0"/>
        <w:textAlignment w:val="auto"/>
        <w:rPr>
          <w:rFonts w:hint="eastAsia" w:hAnsi="宋体"/>
          <w:sz w:val="18"/>
          <w:szCs w:val="18"/>
          <w:lang w:val="en-US" w:eastAsia="zh-CN"/>
        </w:rPr>
      </w:pPr>
      <w:r>
        <w:rPr>
          <w:rFonts w:hint="eastAsia" w:hAnsi="宋体"/>
          <w:sz w:val="18"/>
          <w:szCs w:val="18"/>
          <w:lang w:val="en-US" w:eastAsia="zh-CN"/>
        </w:rPr>
        <w:t>办公</w:t>
      </w:r>
      <w:r>
        <w:rPr>
          <w:rFonts w:hint="eastAsia" w:hAnsi="宋体"/>
          <w:sz w:val="18"/>
          <w:szCs w:val="18"/>
        </w:rPr>
        <w:t>地址：</w:t>
      </w:r>
      <w:r>
        <w:rPr>
          <w:rFonts w:hint="eastAsia" w:hAnsi="宋体"/>
          <w:sz w:val="18"/>
          <w:szCs w:val="18"/>
          <w:lang w:val="en-US" w:eastAsia="zh-CN"/>
        </w:rPr>
        <w:t xml:space="preserve">  </w:t>
      </w:r>
      <w:permStart w:id="44" w:edGrp="everyone"/>
      <w:r>
        <w:rPr>
          <w:rFonts w:hint="eastAsia" w:hAnsi="宋体"/>
          <w:sz w:val="18"/>
          <w:szCs w:val="18"/>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80" w:lineRule="auto"/>
        <w:ind w:left="0" w:leftChars="0" w:firstLine="0" w:firstLineChars="0"/>
        <w:textAlignment w:val="auto"/>
        <w:rPr>
          <w:rFonts w:hint="default" w:hAnsi="宋体"/>
          <w:sz w:val="18"/>
          <w:szCs w:val="18"/>
          <w:lang w:val="en-US" w:eastAsia="zh-CN"/>
        </w:rPr>
      </w:pPr>
      <w:r>
        <w:rPr>
          <w:rFonts w:hint="eastAsia" w:hAnsi="宋体"/>
          <w:sz w:val="18"/>
          <w:szCs w:val="18"/>
          <w:lang w:val="en-US" w:eastAsia="zh-CN"/>
        </w:rPr>
        <w:t xml:space="preserve">                                       </w:t>
      </w:r>
    </w:p>
    <w:permEnd w:id="44"/>
    <w:p>
      <w:pPr>
        <w:ind w:left="0" w:leftChars="0" w:firstLine="0" w:firstLineChars="0"/>
        <w:jc w:val="both"/>
        <w:rPr>
          <w:rFonts w:hint="default"/>
          <w:sz w:val="21"/>
          <w:szCs w:val="21"/>
          <w:lang w:val="en-US" w:eastAsia="zh-CN"/>
        </w:rPr>
      </w:pPr>
      <w:r>
        <w:rPr>
          <w:rFonts w:hint="eastAsia" w:hAnsi="宋体"/>
          <w:sz w:val="18"/>
          <w:szCs w:val="18"/>
          <w:lang w:val="en-US" w:eastAsia="zh-CN"/>
        </w:rPr>
        <w:t xml:space="preserve">日期： </w:t>
      </w:r>
      <w:permStart w:id="45" w:edGrp="everyone"/>
      <w:r>
        <w:rPr>
          <w:rFonts w:hint="eastAsia" w:hAnsi="宋体"/>
          <w:sz w:val="18"/>
          <w:szCs w:val="18"/>
          <w:lang w:val="en-US" w:eastAsia="zh-CN"/>
        </w:rPr>
        <w:t xml:space="preserve">                           </w:t>
      </w:r>
    </w:p>
    <w:permEnd w:id="45"/>
    <w:p>
      <w:pPr>
        <w:ind w:left="0" w:leftChars="0" w:firstLine="0" w:firstLineChars="0"/>
        <w:jc w:val="both"/>
        <w:rPr>
          <w:rFonts w:hint="eastAsia"/>
          <w:sz w:val="52"/>
          <w:szCs w:val="52"/>
          <w:lang w:eastAsia="zh-CN"/>
        </w:rPr>
        <w:sectPr>
          <w:type w:val="continuous"/>
          <w:pgSz w:w="11906" w:h="16838"/>
          <w:pgMar w:top="1440" w:right="1800" w:bottom="1440" w:left="1800" w:header="851" w:footer="992" w:gutter="0"/>
          <w:pgBorders>
            <w:top w:val="none" w:sz="0" w:space="0"/>
            <w:left w:val="none" w:sz="0" w:space="0"/>
            <w:bottom w:val="none" w:sz="0" w:space="0"/>
            <w:right w:val="none" w:sz="0" w:space="0"/>
          </w:pgBorders>
          <w:pgNumType w:fmt="decimal"/>
          <w:cols w:equalWidth="0" w:num="2">
            <w:col w:w="3940" w:space="425"/>
            <w:col w:w="3940"/>
          </w:cols>
          <w:docGrid w:type="lines" w:linePitch="312" w:charSpace="0"/>
        </w:sectPr>
      </w:pPr>
    </w:p>
    <w:p>
      <w:pPr>
        <w:ind w:left="0" w:leftChars="0" w:firstLine="0" w:firstLineChars="0"/>
        <w:jc w:val="both"/>
        <w:rPr>
          <w:rFonts w:hint="eastAsia"/>
          <w:sz w:val="52"/>
          <w:szCs w:val="52"/>
          <w:lang w:eastAsia="zh-CN"/>
        </w:rPr>
      </w:pPr>
    </w:p>
    <w:p>
      <w:pPr>
        <w:ind w:left="0" w:leftChars="0" w:firstLine="0" w:firstLineChars="0"/>
        <w:jc w:val="both"/>
        <w:rPr>
          <w:rFonts w:hint="eastAsia"/>
          <w:sz w:val="52"/>
          <w:szCs w:val="52"/>
          <w:lang w:eastAsia="zh-CN"/>
        </w:rPr>
      </w:pPr>
    </w:p>
    <w:p>
      <w:pPr>
        <w:ind w:left="0" w:leftChars="0" w:firstLine="0" w:firstLineChars="0"/>
        <w:jc w:val="both"/>
        <w:rPr>
          <w:rFonts w:hint="eastAsia"/>
          <w:sz w:val="52"/>
          <w:szCs w:val="52"/>
          <w:lang w:eastAsia="zh-CN"/>
        </w:rPr>
      </w:pPr>
    </w:p>
    <w:p>
      <w:pPr>
        <w:ind w:left="0" w:leftChars="0" w:firstLine="0" w:firstLineChars="0"/>
        <w:jc w:val="both"/>
        <w:rPr>
          <w:rFonts w:hint="eastAsia"/>
          <w:sz w:val="52"/>
          <w:szCs w:val="52"/>
          <w:lang w:eastAsia="zh-CN"/>
        </w:rPr>
      </w:pPr>
    </w:p>
    <w:p>
      <w:pPr>
        <w:ind w:left="0" w:leftChars="0" w:firstLine="0" w:firstLineChars="0"/>
        <w:jc w:val="both"/>
        <w:rPr>
          <w:rFonts w:hint="eastAsia"/>
          <w:sz w:val="52"/>
          <w:szCs w:val="52"/>
          <w:lang w:eastAsia="zh-CN"/>
        </w:rPr>
      </w:pPr>
    </w:p>
    <w:p>
      <w:pPr>
        <w:ind w:left="0" w:leftChars="0" w:firstLine="0" w:firstLineChars="0"/>
        <w:jc w:val="both"/>
        <w:rPr>
          <w:rFonts w:hint="eastAsia"/>
          <w:sz w:val="52"/>
          <w:szCs w:val="52"/>
          <w:lang w:eastAsia="zh-CN"/>
        </w:rPr>
      </w:pPr>
    </w:p>
    <w:p/>
    <w:sectPr>
      <w:type w:val="continuous"/>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楷体">
    <w:panose1 w:val="02010609060101010101"/>
    <w:charset w:val="86"/>
    <w:family w:val="modern"/>
    <w:pitch w:val="default"/>
    <w:sig w:usb0="800002BF" w:usb1="38CF7CFA" w:usb2="00000016" w:usb3="00000000" w:csb0="00040001" w:csb1="00000000"/>
  </w:font>
  <w:font w:name="Arial Black">
    <w:panose1 w:val="020B0A04020102020204"/>
    <w:charset w:val="00"/>
    <w:family w:val="swiss"/>
    <w:pitch w:val="default"/>
    <w:sig w:usb0="00000287" w:usb1="00000000" w:usb2="00000000" w:usb3="00000000" w:csb0="2000009F" w:csb1="DFD7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widowControl w:val="0"/>
      <w:pBdr>
        <w:top w:val="thinThickSmallGap" w:color="auto" w:sz="18" w:space="0"/>
        <w:left w:val="none" w:color="auto" w:sz="0" w:space="4"/>
        <w:bottom w:val="none" w:color="auto" w:sz="0" w:space="1"/>
        <w:right w:val="none" w:color="auto" w:sz="0" w:space="4"/>
        <w:between w:val="none" w:color="auto" w:sz="0" w:space="0"/>
      </w:pBdr>
      <w:shd w:val="clear" w:fill="FFFFFF" w:themeFill="background1"/>
      <w:wordWrap/>
      <w:snapToGrid w:val="0"/>
      <w:spacing w:line="360" w:lineRule="auto"/>
      <w:ind w:left="0" w:leftChars="0" w:firstLine="0" w:firstLineChars="0"/>
      <w:jc w:val="left"/>
      <w:rPr>
        <w:rFonts w:hint="eastAsia" w:eastAsiaTheme="minorEastAsia"/>
        <w:strike w:val="0"/>
        <w:dstrike w:val="0"/>
        <w:lang w:eastAsia="zh-CN"/>
      </w:rPr>
    </w:pPr>
    <w:r>
      <w:rPr>
        <w:rFonts w:hint="eastAsia" w:ascii="仿宋" w:hAnsi="仿宋" w:eastAsia="仿宋" w:cs="仿宋"/>
        <w:b w:val="0"/>
        <w:bCs w:val="0"/>
        <w:sz w:val="18"/>
        <w:szCs w:val="18"/>
      </w:rPr>
      <w:t>Tel/Fax： 0471-</w:t>
    </w:r>
    <w:r>
      <w:rPr>
        <w:rFonts w:hint="eastAsia" w:ascii="仿宋" w:hAnsi="仿宋" w:eastAsia="仿宋" w:cs="仿宋"/>
        <w:b w:val="0"/>
        <w:bCs w:val="0"/>
        <w:sz w:val="18"/>
        <w:szCs w:val="18"/>
        <w:lang w:val="en-US" w:eastAsia="zh-CN"/>
      </w:rPr>
      <w:t xml:space="preserve">3912512                                           </w:t>
    </w:r>
    <w:r>
      <w:rPr>
        <w:rFonts w:hint="eastAsia" w:ascii="仿宋" w:hAnsi="仿宋" w:eastAsia="仿宋" w:cs="仿宋"/>
        <w:b w:val="0"/>
        <w:bCs w:val="0"/>
        <w:sz w:val="18"/>
        <w:szCs w:val="18"/>
        <w:lang w:eastAsia="zh-CN"/>
      </w:rPr>
      <w:t>邮箱：</w:t>
    </w:r>
    <w:r>
      <w:rPr>
        <w:rFonts w:hint="eastAsia" w:ascii="仿宋" w:hAnsi="仿宋" w:eastAsia="仿宋" w:cs="仿宋"/>
        <w:b w:val="0"/>
        <w:bCs w:val="0"/>
        <w:sz w:val="18"/>
        <w:szCs w:val="18"/>
        <w:lang w:val="en-US" w:eastAsia="zh-CN"/>
      </w:rPr>
      <w:t xml:space="preserve">2493079940@qq.com   </w:t>
    </w:r>
    <w:r>
      <w:rPr>
        <w:rFonts w:hint="eastAsia" w:ascii="仿宋" w:hAnsi="仿宋" w:eastAsia="仿宋" w:cs="仿宋"/>
        <w:i w:val="0"/>
        <w:iCs/>
        <w:sz w:val="21"/>
        <w:szCs w:val="21"/>
        <w:lang w:val="en-US" w:eastAsia="zh-CN"/>
      </w:rP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bottom w:val="thinThickSmallGap" w:color="auto" w:sz="12" w:space="1"/>
      </w:pBdr>
      <w:spacing w:line="240" w:lineRule="auto"/>
      <w:ind w:left="0" w:leftChars="0" w:firstLine="0" w:firstLineChars="0"/>
      <w:jc w:val="both"/>
    </w:pPr>
    <w:r>
      <w:rPr>
        <w:rFonts w:hint="eastAsia" w:ascii="仿宋" w:hAnsi="仿宋" w:eastAsia="仿宋" w:cs="仿宋"/>
        <w:i w:val="0"/>
        <w:iCs/>
        <w:sz w:val="21"/>
        <w:szCs w:val="21"/>
        <w:lang w:val="en-US" w:eastAsia="zh-CN"/>
      </w:rPr>
      <w:t xml:space="preserve"> </w:t>
    </w:r>
    <w:r>
      <w:rPr>
        <w:rFonts w:hint="eastAsia" w:ascii="仿宋" w:hAnsi="仿宋" w:eastAsia="仿宋" w:cs="仿宋"/>
        <w:i w:val="0"/>
        <w:iCs/>
        <w:sz w:val="21"/>
        <w:szCs w:val="21"/>
        <w:lang w:val="en-US" w:eastAsia="zh-CN"/>
      </w:rPr>
      <w:drawing>
        <wp:inline distT="0" distB="0" distL="114300" distR="114300">
          <wp:extent cx="501015" cy="501650"/>
          <wp:effectExtent l="0" t="0" r="13335" b="12700"/>
          <wp:docPr id="2" name="图片 2" descr="C:\Users\Administrator\Desktop\兴业建筑宣传册\兴业资料\兴业订阅号\订阅号二维码\8.jpg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C:\Users\Administrator\Desktop\兴业建筑宣传册\兴业资料\兴业订阅号\订阅号二维码\8.jpg8"/>
                  <pic:cNvPicPr>
                    <a:picLocks noChangeAspect="1"/>
                  </pic:cNvPicPr>
                </pic:nvPicPr>
                <pic:blipFill>
                  <a:blip r:embed="rId1"/>
                  <a:srcRect/>
                  <a:stretch>
                    <a:fillRect/>
                  </a:stretch>
                </pic:blipFill>
                <pic:spPr>
                  <a:xfrm>
                    <a:off x="0" y="0"/>
                    <a:ext cx="501015" cy="501650"/>
                  </a:xfrm>
                  <a:prstGeom prst="rect">
                    <a:avLst/>
                  </a:prstGeom>
                </pic:spPr>
              </pic:pic>
            </a:graphicData>
          </a:graphic>
        </wp:inline>
      </w:drawing>
    </w:r>
    <w:r>
      <w:rPr>
        <w:rFonts w:hint="eastAsia" w:ascii="仿宋" w:hAnsi="仿宋" w:eastAsia="仿宋" w:cs="仿宋"/>
        <w:i w:val="0"/>
        <w:iCs/>
        <w:sz w:val="21"/>
        <w:szCs w:val="21"/>
        <w:lang w:val="en-US" w:eastAsia="zh-CN"/>
      </w:rPr>
      <w:t xml:space="preserve">                                           呼和浩特市兴业建筑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bordersDoNotSurroundHeader w:val="1"/>
  <w:bordersDoNotSurroundFooter w:val="1"/>
  <w:documentProtection w:edit="readOnly" w:enforcement="1" w:cryptProviderType="rsaFull" w:cryptAlgorithmClass="hash" w:cryptAlgorithmType="typeAny" w:cryptAlgorithmSid="4" w:cryptSpinCount="0" w:hash="9h4eGgVjQJ1yG/1N7+fLEon8c2w=" w:salt="8n7huB40qwOyKYLApTFBTg=="/>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CA60DC7"/>
    <w:rsid w:val="02484CBB"/>
    <w:rsid w:val="037E75C1"/>
    <w:rsid w:val="04105BE6"/>
    <w:rsid w:val="043952BF"/>
    <w:rsid w:val="04CA3514"/>
    <w:rsid w:val="05842172"/>
    <w:rsid w:val="05D1746F"/>
    <w:rsid w:val="083D2768"/>
    <w:rsid w:val="09045AB8"/>
    <w:rsid w:val="0C1832C4"/>
    <w:rsid w:val="0F494FBA"/>
    <w:rsid w:val="0F752C68"/>
    <w:rsid w:val="109534F3"/>
    <w:rsid w:val="11626F56"/>
    <w:rsid w:val="13A0268B"/>
    <w:rsid w:val="151B5FA1"/>
    <w:rsid w:val="15745216"/>
    <w:rsid w:val="16D47EA4"/>
    <w:rsid w:val="1CA60DC7"/>
    <w:rsid w:val="1CE160F1"/>
    <w:rsid w:val="2145118B"/>
    <w:rsid w:val="21492EE8"/>
    <w:rsid w:val="21692C0C"/>
    <w:rsid w:val="21B21A21"/>
    <w:rsid w:val="27860AA5"/>
    <w:rsid w:val="28E96D5F"/>
    <w:rsid w:val="2B4F68B6"/>
    <w:rsid w:val="2BEE7336"/>
    <w:rsid w:val="2CBA0669"/>
    <w:rsid w:val="2D255481"/>
    <w:rsid w:val="2E51148A"/>
    <w:rsid w:val="2E513FE8"/>
    <w:rsid w:val="3426464C"/>
    <w:rsid w:val="36681B0E"/>
    <w:rsid w:val="367046BB"/>
    <w:rsid w:val="38CB14DD"/>
    <w:rsid w:val="39A8325F"/>
    <w:rsid w:val="3A036A13"/>
    <w:rsid w:val="3D377AA7"/>
    <w:rsid w:val="3F5F77ED"/>
    <w:rsid w:val="41A97E3D"/>
    <w:rsid w:val="41B27BAE"/>
    <w:rsid w:val="42F70489"/>
    <w:rsid w:val="44E31CE1"/>
    <w:rsid w:val="46B91474"/>
    <w:rsid w:val="493D5294"/>
    <w:rsid w:val="4A4950E9"/>
    <w:rsid w:val="4C3E5BB3"/>
    <w:rsid w:val="4EA44A0C"/>
    <w:rsid w:val="4FE77F5C"/>
    <w:rsid w:val="51541A0F"/>
    <w:rsid w:val="55152D9E"/>
    <w:rsid w:val="55D8777F"/>
    <w:rsid w:val="5A574919"/>
    <w:rsid w:val="5B7336C2"/>
    <w:rsid w:val="5BED4495"/>
    <w:rsid w:val="5E0D5F8B"/>
    <w:rsid w:val="60AD0992"/>
    <w:rsid w:val="649D3833"/>
    <w:rsid w:val="66D7163F"/>
    <w:rsid w:val="66DF078E"/>
    <w:rsid w:val="677765AB"/>
    <w:rsid w:val="69534266"/>
    <w:rsid w:val="697C07B8"/>
    <w:rsid w:val="69825245"/>
    <w:rsid w:val="698D2817"/>
    <w:rsid w:val="6B41586A"/>
    <w:rsid w:val="6C46196A"/>
    <w:rsid w:val="734759BC"/>
    <w:rsid w:val="744E10FD"/>
    <w:rsid w:val="74F328D8"/>
    <w:rsid w:val="74F46B3C"/>
    <w:rsid w:val="78252A4E"/>
    <w:rsid w:val="7B0A5758"/>
    <w:rsid w:val="7B13085E"/>
    <w:rsid w:val="7ED6786C"/>
    <w:rsid w:val="7FDF1E6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ind w:firstLine="200" w:firstLineChars="200"/>
      <w:jc w:val="both"/>
    </w:pPr>
    <w:rPr>
      <w:rFonts w:ascii="宋体" w:hAnsiTheme="minorHAnsi" w:eastAsiaTheme="minorEastAsia" w:cstheme="minorBidi"/>
      <w:kern w:val="2"/>
      <w:sz w:val="21"/>
      <w:szCs w:val="22"/>
      <w:lang w:val="en-US" w:eastAsia="zh-CN" w:bidi="ar-SA"/>
    </w:rPr>
  </w:style>
  <w:style w:type="paragraph" w:styleId="2">
    <w:name w:val="heading 1"/>
    <w:basedOn w:val="1"/>
    <w:next w:val="1"/>
    <w:qFormat/>
    <w:uiPriority w:val="0"/>
    <w:pPr>
      <w:keepNext/>
      <w:keepLines/>
      <w:ind w:firstLine="0" w:firstLineChars="0"/>
      <w:jc w:val="center"/>
      <w:outlineLvl w:val="0"/>
    </w:pPr>
    <w:rPr>
      <w:b/>
      <w:bCs/>
      <w:kern w:val="44"/>
      <w:sz w:val="30"/>
      <w:szCs w:val="44"/>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jc w:val="left"/>
    </w:pPr>
    <w:rPr>
      <w:sz w:val="18"/>
      <w:szCs w:val="18"/>
    </w:rPr>
  </w:style>
  <w:style w:type="paragraph" w:styleId="4">
    <w:name w:val="header"/>
    <w:basedOn w:val="1"/>
    <w:qFormat/>
    <w:uiPriority w:val="0"/>
    <w:pPr>
      <w:pBdr>
        <w:bottom w:val="single" w:color="auto" w:sz="6" w:space="1"/>
      </w:pBdr>
      <w:tabs>
        <w:tab w:val="center" w:pos="4153"/>
        <w:tab w:val="right" w:pos="8306"/>
      </w:tabs>
      <w:snapToGrid w:val="0"/>
      <w:jc w:val="center"/>
    </w:pPr>
    <w:rPr>
      <w:sz w:val="18"/>
      <w:szCs w:val="18"/>
    </w:rPr>
  </w:style>
  <w:style w:type="character" w:styleId="7">
    <w:name w:val="Hyperlink"/>
    <w:basedOn w:val="6"/>
    <w:qFormat/>
    <w:uiPriority w:val="0"/>
    <w:rPr>
      <w:color w:val="0000FF"/>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Office_11.1.0.9440_F1E327BC-269C-435d-A152-05C5408002CA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2017-12-28T01:28:00Z</dcterms:created>
  <dc:creator>Administrator</dc:creator>
  <cp:lastModifiedBy>任毅</cp:lastModifiedBy>
  <cp:lastPrinted>2017-12-28T07:21:00Z</cp:lastPrinted>
  <dcterms:modified xsi:type="dcterms:W3CDTF">2020-03-31T07:12:13Z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2052-11.1.0.9440</vt:lpwstr>
  </property>
</Properties>
</file>